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rPr>
          <w:rFonts w:hint="eastAsia" w:ascii="黑体" w:hAnsi="黑体" w:eastAsia="黑体" w:cs="黑体"/>
          <w:sz w:val="52"/>
          <w:szCs w:val="52"/>
        </w:rPr>
      </w:pPr>
      <w:r>
        <w:rPr>
          <w:rFonts w:hint="eastAsia" w:ascii="黑体" w:hAnsi="黑体" w:eastAsia="黑体" w:cs="黑体"/>
          <w:sz w:val="52"/>
          <w:szCs w:val="52"/>
          <w:lang w:eastAsia="zh-CN"/>
        </w:rPr>
        <w:t>2020</w:t>
      </w:r>
      <w:r>
        <w:rPr>
          <w:rFonts w:hint="eastAsia" w:ascii="黑体" w:hAnsi="黑体" w:eastAsia="黑体" w:cs="黑体"/>
          <w:sz w:val="52"/>
          <w:szCs w:val="52"/>
        </w:rPr>
        <w:t>年度</w:t>
      </w:r>
    </w:p>
    <w:p>
      <w:pPr>
        <w:jc w:val="center"/>
        <w:rPr>
          <w:rFonts w:hint="eastAsia" w:ascii="黑体" w:hAnsi="黑体" w:eastAsia="黑体" w:cs="黑体"/>
          <w:sz w:val="52"/>
          <w:szCs w:val="52"/>
        </w:rPr>
      </w:pPr>
      <w:r>
        <w:rPr>
          <w:rFonts w:hint="eastAsia" w:ascii="黑体" w:hAnsi="黑体" w:eastAsia="黑体" w:cs="黑体"/>
          <w:sz w:val="52"/>
          <w:szCs w:val="52"/>
        </w:rPr>
        <w:t>义马市统计局部门决算</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w:t>
      </w:r>
      <w:r>
        <w:rPr>
          <w:rFonts w:hint="eastAsia" w:ascii="黑体" w:hAnsi="黑体" w:eastAsia="黑体" w:cs="黑体"/>
          <w:sz w:val="32"/>
          <w:szCs w:val="32"/>
          <w:lang w:eastAsia="zh-CN"/>
        </w:rPr>
        <w:t>二一</w:t>
      </w:r>
      <w:r>
        <w:rPr>
          <w:rFonts w:hint="eastAsia" w:ascii="黑体" w:hAnsi="黑体" w:eastAsia="黑体" w:cs="黑体"/>
          <w:sz w:val="32"/>
          <w:szCs w:val="32"/>
        </w:rPr>
        <w:t>年九月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义马市统计局概况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w:t>
      </w:r>
      <w:r>
        <w:rPr>
          <w:rFonts w:hint="eastAsia" w:ascii="黑体" w:hAnsi="黑体" w:eastAsia="黑体" w:cs="黑体"/>
          <w:sz w:val="32"/>
          <w:szCs w:val="32"/>
          <w:lang w:eastAsia="zh-CN"/>
        </w:rPr>
        <w:t>2020</w:t>
      </w:r>
      <w:r>
        <w:rPr>
          <w:rFonts w:hint="eastAsia" w:ascii="黑体" w:hAnsi="黑体" w:eastAsia="黑体" w:cs="黑体"/>
          <w:sz w:val="32"/>
          <w:szCs w:val="32"/>
        </w:rPr>
        <w:t>年度部门决算表</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ascii="宋体" w:hAnsi="宋体" w:cs="宋体"/>
          <w:sz w:val="32"/>
          <w:szCs w:val="32"/>
        </w:rPr>
      </w:pPr>
      <w:r>
        <w:rPr>
          <w:rFonts w:hint="eastAsia" w:ascii="宋体" w:hAnsi="宋体" w:cs="宋体"/>
          <w:sz w:val="32"/>
          <w:szCs w:val="32"/>
        </w:rPr>
        <w:t>三、支出决算表</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ascii="宋体" w:hAnsi="宋体" w:cs="宋体"/>
          <w:sz w:val="32"/>
          <w:szCs w:val="32"/>
        </w:rPr>
      </w:pPr>
      <w:r>
        <w:rPr>
          <w:rFonts w:hint="eastAsia" w:ascii="宋体" w:hAnsi="宋体" w:cs="宋体"/>
          <w:sz w:val="32"/>
          <w:szCs w:val="32"/>
        </w:rPr>
        <w:t>八、政府性基金预算财政拨款收入支出决算表</w:t>
      </w:r>
    </w:p>
    <w:p>
      <w:pPr>
        <w:jc w:val="left"/>
        <w:rPr>
          <w:rFonts w:hint="eastAsia" w:ascii="黑体" w:hAnsi="黑体" w:eastAsia="黑体" w:cs="黑体"/>
          <w:sz w:val="32"/>
          <w:szCs w:val="32"/>
        </w:rPr>
      </w:pPr>
      <w:r>
        <w:rPr>
          <w:rFonts w:hint="eastAsia" w:ascii="黑体" w:hAnsi="黑体" w:eastAsia="黑体" w:cs="黑体"/>
          <w:sz w:val="32"/>
          <w:szCs w:val="32"/>
        </w:rPr>
        <w:t>第三部分　　</w:t>
      </w:r>
      <w:r>
        <w:rPr>
          <w:rFonts w:hint="eastAsia" w:ascii="黑体" w:hAnsi="黑体" w:eastAsia="黑体" w:cs="黑体"/>
          <w:sz w:val="32"/>
          <w:szCs w:val="32"/>
          <w:lang w:eastAsia="zh-CN"/>
        </w:rPr>
        <w:t>2020</w:t>
      </w:r>
      <w:r>
        <w:rPr>
          <w:rFonts w:hint="eastAsia" w:ascii="黑体" w:hAnsi="黑体" w:eastAsia="黑体" w:cs="黑体"/>
          <w:sz w:val="32"/>
          <w:szCs w:val="32"/>
        </w:rPr>
        <w:t>年度部门决算情况说明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八、预算绩效情况说明</w:t>
      </w:r>
    </w:p>
    <w:p>
      <w:pPr>
        <w:ind w:firstLine="640" w:firstLineChars="200"/>
        <w:jc w:val="left"/>
        <w:rPr>
          <w:rFonts w:hint="eastAsia"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十二、国有资产占用情况说明</w:t>
      </w:r>
    </w:p>
    <w:p>
      <w:pPr>
        <w:jc w:val="left"/>
        <w:rPr>
          <w:rFonts w:hint="eastAsia" w:ascii="黑体" w:hAnsi="黑体" w:eastAsia="黑体" w:cs="黑体"/>
          <w:sz w:val="32"/>
          <w:szCs w:val="32"/>
        </w:rPr>
      </w:pPr>
      <w:r>
        <w:rPr>
          <w:rFonts w:hint="eastAsia" w:ascii="黑体" w:hAnsi="黑体" w:eastAsia="黑体" w:cs="黑体"/>
          <w:sz w:val="32"/>
          <w:szCs w:val="32"/>
        </w:rPr>
        <w:t>第四部分　　名词解释</w:t>
      </w:r>
    </w:p>
    <w:p>
      <w:pPr>
        <w:jc w:val="left"/>
        <w:rPr>
          <w:rFonts w:hint="eastAsia" w:ascii="黑体" w:hAnsi="黑体" w:eastAsia="黑体" w:cs="黑体"/>
          <w:sz w:val="32"/>
          <w:szCs w:val="32"/>
        </w:rPr>
        <w:sectPr>
          <w:footerReference r:id="rId3" w:type="default"/>
          <w:footerReference r:id="rId4" w:type="even"/>
          <w:pgSz w:w="11906" w:h="16838"/>
          <w:pgMar w:top="1440" w:right="1531" w:bottom="1440" w:left="1587" w:header="850" w:footer="992" w:gutter="0"/>
          <w:pgNumType w:fmt="numberInDash" w:start="1"/>
          <w:cols w:space="720" w:num="1"/>
          <w:docGrid w:type="lines" w:linePitch="317"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center"/>
        <w:outlineLvl w:val="0"/>
        <w:rPr>
          <w:rFonts w:hint="eastAsia" w:ascii="黑体" w:hAnsi="宋体" w:eastAsia="黑体" w:cs="宋体"/>
          <w:kern w:val="0"/>
          <w:sz w:val="28"/>
          <w:szCs w:val="28"/>
        </w:rPr>
      </w:pPr>
      <w:r>
        <w:rPr>
          <w:rFonts w:hint="eastAsia" w:ascii="黑体" w:hAnsi="黑体" w:eastAsia="黑体" w:cs="黑体"/>
          <w:sz w:val="48"/>
          <w:szCs w:val="48"/>
        </w:rPr>
        <w:t>第一部分  义马市统计局概况</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kinsoku w:val="0"/>
        <w:overflowPunct w:val="0"/>
        <w:adjustRightInd w:val="0"/>
        <w:snapToGrid w:val="0"/>
        <w:spacing w:line="560" w:lineRule="exact"/>
        <w:ind w:right="51" w:firstLine="640" w:firstLineChars="200"/>
        <w:jc w:val="left"/>
        <w:rPr>
          <w:rFonts w:hint="eastAsia" w:ascii="仿宋_GB2312" w:eastAsia="仿宋_GB2312"/>
          <w:sz w:val="32"/>
          <w:szCs w:val="32"/>
        </w:rPr>
      </w:pPr>
      <w:r>
        <w:rPr>
          <w:rFonts w:hint="eastAsia" w:ascii="仿宋_GB2312" w:eastAsia="仿宋_GB2312"/>
          <w:sz w:val="32"/>
          <w:szCs w:val="32"/>
        </w:rPr>
        <w:t>（一）承担组织领导和协调全市统计工作，确保统计数据真实、准确、及时；贯彻执行国家和省、市统计政策、规划、基本统计制度和统计标准，制定全市统计制度和统计标准；贯彻执行统计法律、法规及规章制度，制定全市规范性文件；指导全市统计工作。</w:t>
      </w:r>
    </w:p>
    <w:p>
      <w:pPr>
        <w:kinsoku w:val="0"/>
        <w:overflowPunct w:val="0"/>
        <w:adjustRightInd w:val="0"/>
        <w:snapToGrid w:val="0"/>
        <w:spacing w:line="560" w:lineRule="exact"/>
        <w:ind w:right="51" w:firstLine="640" w:firstLineChars="200"/>
        <w:jc w:val="left"/>
        <w:rPr>
          <w:rFonts w:ascii="仿宋_GB2312" w:eastAsia="仿宋_GB2312"/>
          <w:sz w:val="32"/>
          <w:szCs w:val="32"/>
        </w:rPr>
      </w:pPr>
      <w:r>
        <w:rPr>
          <w:rFonts w:hint="eastAsia" w:ascii="仿宋_GB2312" w:eastAsia="仿宋_GB2312"/>
          <w:sz w:val="32"/>
          <w:szCs w:val="32"/>
        </w:rPr>
        <w:t>（二）贯彻执行国家和省、市国民经济核算制度，建立健全全市国民经济核算体系和统计指标体系。</w:t>
      </w:r>
    </w:p>
    <w:p>
      <w:pPr>
        <w:kinsoku w:val="0"/>
        <w:overflowPunct w:val="0"/>
        <w:adjustRightInd w:val="0"/>
        <w:snapToGrid w:val="0"/>
        <w:spacing w:line="560" w:lineRule="exact"/>
        <w:ind w:right="51" w:firstLine="640" w:firstLineChars="200"/>
        <w:jc w:val="left"/>
        <w:rPr>
          <w:rFonts w:ascii="仿宋_GB2312" w:eastAsia="仿宋_GB2312"/>
          <w:sz w:val="32"/>
          <w:szCs w:val="32"/>
        </w:rPr>
      </w:pPr>
      <w:r>
        <w:rPr>
          <w:rFonts w:hint="eastAsia" w:ascii="仿宋_GB2312" w:eastAsia="仿宋_GB2312"/>
          <w:sz w:val="32"/>
          <w:szCs w:val="32"/>
        </w:rPr>
        <w:t>（三）会同有关部门贯彻落实国家和省、市重大国情国力普查计划、方案，组织实施全市人口、经济、农业等国情国力普查和投入产出调查等大型专项调查，汇总、整理和提供有关国情国力方面的统计数据。</w:t>
      </w:r>
    </w:p>
    <w:p>
      <w:pPr>
        <w:kinsoku w:val="0"/>
        <w:overflowPunct w:val="0"/>
        <w:adjustRightInd w:val="0"/>
        <w:snapToGrid w:val="0"/>
        <w:spacing w:line="560" w:lineRule="exact"/>
        <w:ind w:right="51" w:firstLine="640" w:firstLineChars="200"/>
        <w:jc w:val="left"/>
        <w:rPr>
          <w:rFonts w:ascii="仿宋_GB2312" w:eastAsia="仿宋_GB2312"/>
          <w:sz w:val="32"/>
          <w:szCs w:val="32"/>
        </w:rPr>
      </w:pPr>
      <w:r>
        <w:rPr>
          <w:rFonts w:hint="eastAsia" w:ascii="仿宋_GB2312" w:eastAsia="仿宋_GB2312"/>
          <w:sz w:val="32"/>
          <w:szCs w:val="32"/>
        </w:rPr>
        <w:t>（四）组织实施农林牧渔业、工业、建筑业、批发和零售业、住宿和餐饮业、房地产业、租赁和商务服务业、居民服务和其他服务业、能源、投资、科技、人口、劳动力、环境基本状况、文化体育和娱乐业以及装卸搬运和其他运输服务业、仓储业、计算机服务业、软件业、科技交流和推广服务业、社会福利业等统计调查，收集、汇总、整理和提供有关调查的统计数据，综合整理和提供地质勘查、旅游、交通运输、资源、房屋、对外贸易、对外经济、邮政、教育、卫生、社会保障、公用事业等全市性基本统计数据。</w:t>
      </w:r>
    </w:p>
    <w:p>
      <w:pPr>
        <w:kinsoku w:val="0"/>
        <w:overflowPunct w:val="0"/>
        <w:adjustRightInd w:val="0"/>
        <w:snapToGrid w:val="0"/>
        <w:spacing w:line="560" w:lineRule="exact"/>
        <w:ind w:right="51" w:firstLine="640" w:firstLineChars="200"/>
        <w:jc w:val="left"/>
        <w:rPr>
          <w:rFonts w:ascii="仿宋_GB2312" w:eastAsia="仿宋_GB2312"/>
          <w:sz w:val="32"/>
          <w:szCs w:val="32"/>
        </w:rPr>
      </w:pPr>
      <w:r>
        <w:rPr>
          <w:rFonts w:hint="eastAsia" w:ascii="仿宋_GB2312" w:eastAsia="仿宋_GB2312"/>
          <w:sz w:val="32"/>
          <w:szCs w:val="32"/>
        </w:rPr>
        <w:t>（五）统一核定、管理、公布全市性基本统计资料，定期发布全市国民经济和社会发展情况的统计信息；组织实施重要统计监测评价考核和社情民意调查。</w:t>
      </w:r>
    </w:p>
    <w:p>
      <w:pPr>
        <w:kinsoku w:val="0"/>
        <w:overflowPunct w:val="0"/>
        <w:adjustRightInd w:val="0"/>
        <w:snapToGrid w:val="0"/>
        <w:spacing w:line="560" w:lineRule="exact"/>
        <w:ind w:right="51" w:firstLine="640" w:firstLineChars="200"/>
        <w:jc w:val="left"/>
        <w:rPr>
          <w:rFonts w:ascii="仿宋_GB2312" w:eastAsia="仿宋_GB2312"/>
          <w:sz w:val="32"/>
          <w:szCs w:val="32"/>
        </w:rPr>
      </w:pPr>
      <w:r>
        <w:rPr>
          <w:rFonts w:hint="eastAsia" w:ascii="仿宋_GB2312" w:eastAsia="仿宋_GB2312"/>
          <w:sz w:val="32"/>
          <w:szCs w:val="32"/>
        </w:rPr>
        <w:t>（六）对国民经济、社会发展、科技进步和资源环境等情况进行统计分析、统计预测和统计监督，向市委、市政府及有关部门提供统计信息和咨询建议。</w:t>
      </w:r>
    </w:p>
    <w:p>
      <w:pPr>
        <w:kinsoku w:val="0"/>
        <w:overflowPunct w:val="0"/>
        <w:adjustRightInd w:val="0"/>
        <w:snapToGrid w:val="0"/>
        <w:spacing w:line="560" w:lineRule="exact"/>
        <w:ind w:right="51" w:firstLine="640" w:firstLineChars="200"/>
        <w:jc w:val="left"/>
        <w:rPr>
          <w:rFonts w:ascii="仿宋_GB2312" w:eastAsia="仿宋_GB2312"/>
          <w:sz w:val="32"/>
          <w:szCs w:val="32"/>
        </w:rPr>
      </w:pPr>
      <w:r>
        <w:rPr>
          <w:rFonts w:hint="eastAsia" w:ascii="仿宋_GB2312" w:eastAsia="仿宋_GB2312"/>
          <w:sz w:val="32"/>
          <w:szCs w:val="32"/>
        </w:rPr>
        <w:t>（七）负责市级各部门统计调查项目的申报、审批；指导专业统计基础工作、统计基层业务基础建设，建立健全统计数据质量审核、监控和评估制度，开展对重要统计数据的审核、监控和评估。</w:t>
      </w:r>
    </w:p>
    <w:p>
      <w:pPr>
        <w:kinsoku w:val="0"/>
        <w:overflowPunct w:val="0"/>
        <w:adjustRightInd w:val="0"/>
        <w:snapToGrid w:val="0"/>
        <w:spacing w:line="560" w:lineRule="exact"/>
        <w:ind w:right="51" w:firstLine="640" w:firstLineChars="200"/>
        <w:jc w:val="left"/>
        <w:rPr>
          <w:rFonts w:ascii="仿宋_GB2312" w:eastAsia="仿宋_GB2312"/>
          <w:sz w:val="32"/>
          <w:szCs w:val="32"/>
        </w:rPr>
      </w:pPr>
      <w:r>
        <w:rPr>
          <w:rFonts w:hint="eastAsia" w:ascii="仿宋_GB2312" w:eastAsia="仿宋_GB2312"/>
          <w:sz w:val="32"/>
          <w:szCs w:val="32"/>
        </w:rPr>
        <w:t>（八）拟订全市统计队伍建设规划，负责统计人员从业资格和继续教育培训、考试工作；参与组织统计专业技术资格考评工作。</w:t>
      </w:r>
    </w:p>
    <w:p>
      <w:pPr>
        <w:kinsoku w:val="0"/>
        <w:overflowPunct w:val="0"/>
        <w:adjustRightInd w:val="0"/>
        <w:snapToGrid w:val="0"/>
        <w:spacing w:line="560" w:lineRule="exact"/>
        <w:ind w:right="51" w:firstLine="640" w:firstLineChars="200"/>
        <w:jc w:val="left"/>
        <w:rPr>
          <w:rFonts w:ascii="仿宋_GB2312" w:eastAsia="仿宋_GB2312"/>
          <w:sz w:val="32"/>
          <w:szCs w:val="32"/>
        </w:rPr>
      </w:pPr>
      <w:r>
        <w:rPr>
          <w:rFonts w:hint="eastAsia" w:ascii="仿宋_GB2312" w:eastAsia="仿宋_GB2312"/>
          <w:sz w:val="32"/>
          <w:szCs w:val="32"/>
        </w:rPr>
        <w:t>（九）建立并管理全市统计信息自动化系统和统计数据库系统。</w:t>
      </w:r>
    </w:p>
    <w:p>
      <w:pPr>
        <w:kinsoku w:val="0"/>
        <w:overflowPunct w:val="0"/>
        <w:adjustRightInd w:val="0"/>
        <w:snapToGrid w:val="0"/>
        <w:spacing w:line="560" w:lineRule="exact"/>
        <w:ind w:right="51" w:firstLine="640" w:firstLineChars="200"/>
        <w:jc w:val="left"/>
        <w:rPr>
          <w:rFonts w:ascii="仿宋_GB2312" w:eastAsia="仿宋_GB2312"/>
          <w:sz w:val="32"/>
          <w:szCs w:val="32"/>
        </w:rPr>
      </w:pPr>
      <w:r>
        <w:rPr>
          <w:rFonts w:hint="eastAsia" w:ascii="仿宋_GB2312" w:eastAsia="仿宋_GB2312"/>
          <w:sz w:val="32"/>
          <w:szCs w:val="32"/>
        </w:rPr>
        <w:t>（十）负责全市政府系统目标管理监测考核工作。组织全市目标管理的实施和监控运行；根据市委、市政府的工作部署，组织实施重要的统计监测评价考核和社情民意调查。</w:t>
      </w:r>
    </w:p>
    <w:p>
      <w:pPr>
        <w:spacing w:line="600" w:lineRule="exact"/>
        <w:ind w:firstLine="640" w:firstLineChars="200"/>
        <w:rPr>
          <w:rFonts w:hint="eastAsia" w:ascii="仿宋_GB2312" w:hAnsi="宋体" w:eastAsia="仿宋_GB2312" w:cs="宋体"/>
          <w:kern w:val="0"/>
          <w:sz w:val="32"/>
          <w:szCs w:val="32"/>
        </w:rPr>
      </w:pPr>
      <w:r>
        <w:rPr>
          <w:rFonts w:ascii="仿宋_GB2312" w:eastAsia="仿宋_GB2312"/>
          <w:sz w:val="32"/>
          <w:szCs w:val="32"/>
        </w:rPr>
        <w:t>(</w:t>
      </w:r>
      <w:r>
        <w:rPr>
          <w:rFonts w:hint="eastAsia" w:ascii="仿宋_GB2312" w:eastAsia="仿宋_GB2312"/>
          <w:sz w:val="32"/>
          <w:szCs w:val="32"/>
        </w:rPr>
        <w:t>十一</w:t>
      </w:r>
      <w:r>
        <w:rPr>
          <w:rFonts w:ascii="仿宋_GB2312" w:eastAsia="仿宋_GB2312"/>
          <w:sz w:val="32"/>
          <w:szCs w:val="32"/>
        </w:rPr>
        <w:t>)</w:t>
      </w:r>
      <w:r>
        <w:rPr>
          <w:rFonts w:hint="eastAsia" w:ascii="仿宋_GB2312" w:eastAsia="仿宋_GB2312"/>
          <w:sz w:val="32"/>
          <w:szCs w:val="32"/>
        </w:rPr>
        <w:t>承办市政府交办的其他事项。</w:t>
      </w: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二、机构设置</w:t>
      </w:r>
    </w:p>
    <w:p>
      <w:pPr>
        <w:widowControl/>
        <w:ind w:firstLine="640" w:firstLineChars="200"/>
        <w:jc w:val="left"/>
        <w:rPr>
          <w:rFonts w:hint="eastAsia" w:ascii="黑体" w:hAnsi="黑体" w:eastAsia="黑体" w:cs="黑体"/>
          <w:kern w:val="0"/>
          <w:sz w:val="32"/>
          <w:szCs w:val="32"/>
        </w:rPr>
      </w:pPr>
      <w:r>
        <w:rPr>
          <w:rFonts w:hint="eastAsia" w:ascii="仿宋_GB2312" w:hAnsi="仿宋_GB2312" w:eastAsia="仿宋_GB2312" w:cs="仿宋_GB2312"/>
          <w:kern w:val="0"/>
          <w:sz w:val="32"/>
          <w:szCs w:val="32"/>
        </w:rPr>
        <w:t>义马市统计局内设机构5个，包括：综合办公室、工业和投资科、社会财贸科、能源和生态统计科、服务业科。</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从决算单位构成看，义马市统计局部门决算</w:t>
      </w:r>
      <w:r>
        <w:rPr>
          <w:rFonts w:hint="eastAsia" w:ascii="仿宋_GB2312" w:hAnsi="仿宋_GB2312" w:eastAsia="仿宋_GB2312" w:cs="仿宋_GB2312"/>
          <w:kern w:val="0"/>
          <w:sz w:val="32"/>
          <w:szCs w:val="32"/>
          <w:lang w:eastAsia="zh-CN"/>
        </w:rPr>
        <w:t>包括：</w:t>
      </w:r>
      <w:r>
        <w:rPr>
          <w:rFonts w:hint="eastAsia" w:ascii="仿宋_GB2312" w:hAnsi="仿宋_GB2312" w:eastAsia="仿宋_GB2312" w:cs="仿宋_GB2312"/>
          <w:kern w:val="0"/>
          <w:sz w:val="32"/>
          <w:szCs w:val="32"/>
        </w:rPr>
        <w:t>本级决算。</w:t>
      </w:r>
    </w:p>
    <w:p>
      <w:pPr>
        <w:widowControl/>
        <w:ind w:firstLine="640" w:firstLineChars="200"/>
        <w:jc w:val="left"/>
        <w:rPr>
          <w:rFonts w:hint="eastAsia" w:ascii="黑体" w:hAnsi="宋体" w:eastAsia="黑体" w:cs="宋体"/>
          <w:kern w:val="0"/>
          <w:sz w:val="28"/>
          <w:szCs w:val="28"/>
        </w:rPr>
      </w:pPr>
      <w:r>
        <w:rPr>
          <w:rFonts w:hint="eastAsia" w:ascii="仿宋_GB2312" w:hAnsi="仿宋_GB2312" w:eastAsia="仿宋_GB2312" w:cs="仿宋_GB2312"/>
          <w:kern w:val="0"/>
          <w:sz w:val="32"/>
          <w:szCs w:val="32"/>
          <w:lang w:eastAsia="zh-CN"/>
        </w:rPr>
        <w:t>2020</w:t>
      </w:r>
      <w:r>
        <w:rPr>
          <w:rFonts w:hint="eastAsia" w:ascii="仿宋_GB2312" w:hAnsi="仿宋_GB2312" w:eastAsia="仿宋_GB2312" w:cs="仿宋_GB2312"/>
          <w:kern w:val="0"/>
          <w:sz w:val="32"/>
          <w:szCs w:val="32"/>
        </w:rPr>
        <w:t>年度义马市统计局纳入本部门年度部门决算编制范围的单位共1个。</w:t>
      </w: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 xml:space="preserve">第二部分  </w:t>
      </w:r>
      <w:r>
        <w:rPr>
          <w:rFonts w:hint="eastAsia" w:ascii="黑体" w:hAnsi="黑体" w:eastAsia="黑体" w:cs="黑体"/>
          <w:sz w:val="48"/>
          <w:szCs w:val="48"/>
          <w:lang w:eastAsia="zh-CN"/>
        </w:rPr>
        <w:t>2020</w:t>
      </w:r>
      <w:r>
        <w:rPr>
          <w:rFonts w:hint="eastAsia" w:ascii="黑体" w:hAnsi="黑体" w:eastAsia="黑体" w:cs="黑体"/>
          <w:sz w:val="48"/>
          <w:szCs w:val="48"/>
        </w:rPr>
        <w:t>年度部门决算表</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tbl>
      <w:tblPr>
        <w:tblStyle w:val="4"/>
        <w:tblW w:w="0" w:type="auto"/>
        <w:tblInd w:w="0" w:type="dxa"/>
        <w:tblLayout w:type="fixed"/>
        <w:tblCellMar>
          <w:top w:w="0" w:type="dxa"/>
          <w:left w:w="0" w:type="dxa"/>
          <w:bottom w:w="0" w:type="dxa"/>
          <w:right w:w="0" w:type="dxa"/>
        </w:tblCellMar>
      </w:tblPr>
      <w:tblGrid>
        <w:gridCol w:w="4279"/>
        <w:gridCol w:w="825"/>
        <w:gridCol w:w="1764"/>
        <w:gridCol w:w="4671"/>
        <w:gridCol w:w="750"/>
        <w:gridCol w:w="1699"/>
      </w:tblGrid>
      <w:tr>
        <w:tblPrEx>
          <w:tblCellMar>
            <w:top w:w="0" w:type="dxa"/>
            <w:left w:w="0" w:type="dxa"/>
            <w:bottom w:w="0" w:type="dxa"/>
            <w:right w:w="0" w:type="dxa"/>
          </w:tblCellMar>
        </w:tblPrEx>
        <w:trPr>
          <w:trHeight w:val="360" w:hRule="atLeast"/>
        </w:trPr>
        <w:tc>
          <w:tcPr>
            <w:tcW w:w="13988"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收入支出决算总表</w:t>
            </w:r>
          </w:p>
        </w:tc>
      </w:tr>
      <w:tr>
        <w:tblPrEx>
          <w:tblCellMar>
            <w:top w:w="0" w:type="dxa"/>
            <w:left w:w="0" w:type="dxa"/>
            <w:bottom w:w="0" w:type="dxa"/>
            <w:right w:w="0" w:type="dxa"/>
          </w:tblCellMar>
        </w:tblPrEx>
        <w:trPr>
          <w:trHeight w:val="199" w:hRule="atLeast"/>
        </w:trPr>
        <w:tc>
          <w:tcPr>
            <w:tcW w:w="4279"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825"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764"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750"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699" w:type="dxa"/>
            <w:tcBorders>
              <w:top w:val="nil"/>
              <w:left w:val="nil"/>
              <w:bottom w:val="nil"/>
              <w:right w:val="nil"/>
            </w:tcBorders>
            <w:shd w:val="clear" w:color="auto"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公开01表</w:t>
            </w:r>
          </w:p>
        </w:tc>
      </w:tr>
      <w:tr>
        <w:tblPrEx>
          <w:tblCellMar>
            <w:top w:w="0" w:type="dxa"/>
            <w:left w:w="0" w:type="dxa"/>
            <w:bottom w:w="0" w:type="dxa"/>
            <w:right w:w="0" w:type="dxa"/>
          </w:tblCellMar>
        </w:tblPrEx>
        <w:trPr>
          <w:trHeight w:val="300" w:hRule="atLeast"/>
        </w:trPr>
        <w:tc>
          <w:tcPr>
            <w:tcW w:w="4279" w:type="dxa"/>
            <w:tcBorders>
              <w:top w:val="nil"/>
              <w:left w:val="nil"/>
              <w:bottom w:val="nil"/>
              <w:right w:val="nil"/>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r>
              <w:rPr>
                <w:rFonts w:hint="eastAsia" w:ascii="宋体" w:hAnsi="宋体" w:cs="宋体"/>
                <w:kern w:val="0"/>
                <w:sz w:val="20"/>
                <w:szCs w:val="20"/>
                <w:lang w:bidi="ar"/>
              </w:rPr>
              <w:t>义马市统计局</w:t>
            </w:r>
          </w:p>
        </w:tc>
        <w:tc>
          <w:tcPr>
            <w:tcW w:w="825"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764"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750"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699" w:type="dxa"/>
            <w:tcBorders>
              <w:top w:val="nil"/>
              <w:left w:val="nil"/>
              <w:bottom w:val="nil"/>
              <w:right w:val="nil"/>
            </w:tcBorders>
            <w:shd w:val="clear" w:color="auto"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39" w:hRule="atLeast"/>
        </w:trPr>
        <w:tc>
          <w:tcPr>
            <w:tcW w:w="6868" w:type="dxa"/>
            <w:gridSpan w:val="3"/>
            <w:tcBorders>
              <w:top w:val="single" w:color="000000" w:sz="8"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收入</w:t>
            </w:r>
          </w:p>
        </w:tc>
        <w:tc>
          <w:tcPr>
            <w:tcW w:w="7120" w:type="dxa"/>
            <w:gridSpan w:val="3"/>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支出</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一、财政拨款收入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366.59</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一、一般公共服务支出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169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tabs>
                <w:tab w:val="left" w:pos="413"/>
              </w:tabs>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308.35</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二、上级补助收入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二、外交支出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rPr>
              <w:t>31</w:t>
            </w:r>
          </w:p>
        </w:tc>
        <w:tc>
          <w:tcPr>
            <w:tcW w:w="169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三、事业收入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三、国防支出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rPr>
              <w:t>32</w:t>
            </w:r>
          </w:p>
        </w:tc>
        <w:tc>
          <w:tcPr>
            <w:tcW w:w="169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四、经营收入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四、公共安全支出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rPr>
              <w:t>33</w:t>
            </w:r>
          </w:p>
        </w:tc>
        <w:tc>
          <w:tcPr>
            <w:tcW w:w="169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五、附属单位上缴收入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五、教育支出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rPr>
              <w:t>34</w:t>
            </w:r>
          </w:p>
        </w:tc>
        <w:tc>
          <w:tcPr>
            <w:tcW w:w="169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六、其他收入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rPr>
              <w:t>0.0</w:t>
            </w:r>
            <w:r>
              <w:rPr>
                <w:rFonts w:hint="eastAsia" w:ascii="宋体" w:hAnsi="宋体" w:cs="宋体"/>
                <w:color w:val="000000"/>
                <w:sz w:val="20"/>
                <w:szCs w:val="20"/>
                <w:lang w:val="en-US" w:eastAsia="zh-CN"/>
              </w:rPr>
              <w:t>2</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六、科学技术支出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rPr>
              <w:t>35</w:t>
            </w:r>
          </w:p>
        </w:tc>
        <w:tc>
          <w:tcPr>
            <w:tcW w:w="169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sz w:val="20"/>
                <w:szCs w:val="20"/>
              </w:rPr>
              <w:t>七、文化教育与传媒支出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rPr>
              <w:t>36</w:t>
            </w:r>
          </w:p>
        </w:tc>
        <w:tc>
          <w:tcPr>
            <w:tcW w:w="169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tabs>
                <w:tab w:val="left" w:pos="210"/>
              </w:tabs>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sz w:val="20"/>
                <w:szCs w:val="20"/>
              </w:rPr>
              <w:t>八、社会保障和就业支出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37</w:t>
            </w:r>
          </w:p>
        </w:tc>
        <w:tc>
          <w:tcPr>
            <w:tcW w:w="169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rPr>
              <w:t>2</w:t>
            </w:r>
            <w:r>
              <w:rPr>
                <w:rFonts w:hint="eastAsia" w:ascii="宋体" w:hAnsi="宋体" w:cs="宋体"/>
                <w:color w:val="000000"/>
                <w:sz w:val="20"/>
                <w:szCs w:val="20"/>
                <w:lang w:val="en-US" w:eastAsia="zh-CN"/>
              </w:rPr>
              <w:t>7.51</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sz w:val="20"/>
                <w:szCs w:val="20"/>
              </w:rPr>
              <w:t>九、医疗卫生与计划生育支出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38</w:t>
            </w:r>
          </w:p>
        </w:tc>
        <w:tc>
          <w:tcPr>
            <w:tcW w:w="169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9.99</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sz w:val="20"/>
                <w:szCs w:val="20"/>
              </w:rPr>
              <w:t>十、节能环保支出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39</w:t>
            </w:r>
          </w:p>
        </w:tc>
        <w:tc>
          <w:tcPr>
            <w:tcW w:w="169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sz w:val="20"/>
                <w:szCs w:val="20"/>
              </w:rPr>
              <w:t>十一、城乡社区支出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40</w:t>
            </w:r>
          </w:p>
        </w:tc>
        <w:tc>
          <w:tcPr>
            <w:tcW w:w="169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sz w:val="20"/>
                <w:szCs w:val="20"/>
              </w:rPr>
              <w:t>十二、农林水利支出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41</w:t>
            </w:r>
          </w:p>
        </w:tc>
        <w:tc>
          <w:tcPr>
            <w:tcW w:w="169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sz w:val="20"/>
                <w:szCs w:val="20"/>
              </w:rPr>
              <w:t>十三、交通运输支出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42</w:t>
            </w:r>
          </w:p>
        </w:tc>
        <w:tc>
          <w:tcPr>
            <w:tcW w:w="169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sz w:val="20"/>
                <w:szCs w:val="20"/>
              </w:rPr>
              <w:t>十四、资源勘探信息等支出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43</w:t>
            </w:r>
          </w:p>
        </w:tc>
        <w:tc>
          <w:tcPr>
            <w:tcW w:w="169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sz w:val="20"/>
                <w:szCs w:val="20"/>
              </w:rPr>
              <w:t>十五、商业服务业等支出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44</w:t>
            </w:r>
          </w:p>
        </w:tc>
        <w:tc>
          <w:tcPr>
            <w:tcW w:w="169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sz w:val="20"/>
                <w:szCs w:val="20"/>
              </w:rPr>
              <w:t>十六、金融支出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45</w:t>
            </w:r>
          </w:p>
        </w:tc>
        <w:tc>
          <w:tcPr>
            <w:tcW w:w="169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sz w:val="20"/>
                <w:szCs w:val="20"/>
              </w:rPr>
              <w:t>十七、援助其他地区支出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46</w:t>
            </w:r>
          </w:p>
        </w:tc>
        <w:tc>
          <w:tcPr>
            <w:tcW w:w="169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sz w:val="20"/>
                <w:szCs w:val="20"/>
              </w:rPr>
              <w:t>十八、国土海洋等气象支出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47</w:t>
            </w:r>
          </w:p>
        </w:tc>
        <w:tc>
          <w:tcPr>
            <w:tcW w:w="169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sz w:val="20"/>
                <w:szCs w:val="20"/>
              </w:rPr>
              <w:t>十九、住房保障支出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48</w:t>
            </w:r>
          </w:p>
        </w:tc>
        <w:tc>
          <w:tcPr>
            <w:tcW w:w="169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18.80</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sz w:val="20"/>
                <w:szCs w:val="20"/>
              </w:rPr>
              <w:t>二十、粮油物资储备支出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49</w:t>
            </w:r>
          </w:p>
        </w:tc>
        <w:tc>
          <w:tcPr>
            <w:tcW w:w="169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rPr>
              <w:t>21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二十一、其他支出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rPr>
              <w:t>50</w:t>
            </w:r>
          </w:p>
        </w:tc>
        <w:tc>
          <w:tcPr>
            <w:tcW w:w="1699" w:type="dxa"/>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本年收入合计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rPr>
              <w:t>22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tabs>
                <w:tab w:val="left" w:pos="518"/>
              </w:tabs>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rPr>
              <w:tab/>
            </w:r>
            <w:r>
              <w:rPr>
                <w:rFonts w:hint="eastAsia" w:ascii="宋体" w:hAnsi="宋体" w:cs="宋体"/>
                <w:color w:val="000000"/>
                <w:sz w:val="20"/>
                <w:szCs w:val="20"/>
                <w:lang w:val="en-US" w:eastAsia="zh-CN"/>
              </w:rPr>
              <w:t>366.61</w:t>
            </w:r>
          </w:p>
        </w:tc>
        <w:tc>
          <w:tcPr>
            <w:tcW w:w="4671"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本年支出合计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rPr>
              <w:t>51</w:t>
            </w:r>
          </w:p>
        </w:tc>
        <w:tc>
          <w:tcPr>
            <w:tcW w:w="1699" w:type="dxa"/>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jc w:val="right"/>
              <w:rPr>
                <w:rFonts w:hint="default" w:ascii="宋体" w:hAnsi="宋体" w:eastAsia="宋体" w:cs="宋体"/>
                <w:b/>
                <w:color w:val="000000"/>
                <w:sz w:val="20"/>
                <w:szCs w:val="20"/>
                <w:lang w:val="en-US" w:eastAsia="zh-CN"/>
              </w:rPr>
            </w:pPr>
            <w:r>
              <w:rPr>
                <w:rFonts w:hint="eastAsia" w:ascii="宋体" w:hAnsi="宋体" w:cs="宋体"/>
                <w:b/>
                <w:color w:val="000000"/>
                <w:sz w:val="20"/>
                <w:szCs w:val="20"/>
                <w:lang w:val="en-US" w:eastAsia="zh-CN"/>
              </w:rPr>
              <w:t>364.65</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用事业基金弥补收支差额</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rPr>
              <w:t>23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结余分配</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rPr>
              <w:t>52</w:t>
            </w:r>
          </w:p>
        </w:tc>
        <w:tc>
          <w:tcPr>
            <w:tcW w:w="1699" w:type="dxa"/>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年初结转和结余</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rPr>
              <w:t>24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c>
          <w:tcPr>
            <w:tcW w:w="4671"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其中：提取职工福利基金</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rPr>
              <w:t>53</w:t>
            </w:r>
          </w:p>
        </w:tc>
        <w:tc>
          <w:tcPr>
            <w:tcW w:w="1699" w:type="dxa"/>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ind w:firstLine="578"/>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nil"/>
              <w:right w:val="nil"/>
            </w:tcBorders>
            <w:shd w:val="clear" w:color="auto" w:fill="auto"/>
            <w:noWrap w:val="0"/>
            <w:tcMar>
              <w:top w:w="15" w:type="dxa"/>
              <w:left w:w="15" w:type="dxa"/>
              <w:right w:w="15" w:type="dxa"/>
            </w:tcMar>
            <w:vAlign w:val="center"/>
          </w:tcPr>
          <w:p>
            <w:pPr>
              <w:ind w:firstLine="1200" w:firstLineChars="600"/>
              <w:jc w:val="left"/>
              <w:rPr>
                <w:rFonts w:hint="eastAsia" w:ascii="宋体" w:hAnsi="宋体" w:cs="宋体"/>
                <w:color w:val="000000"/>
                <w:sz w:val="20"/>
                <w:szCs w:val="20"/>
              </w:rPr>
            </w:pPr>
            <w:r>
              <w:rPr>
                <w:rFonts w:hint="eastAsia" w:ascii="宋体" w:hAnsi="宋体" w:cs="宋体"/>
                <w:color w:val="000000"/>
                <w:sz w:val="20"/>
                <w:szCs w:val="20"/>
              </w:rPr>
              <w:t>其中：项目支出结转和结余</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rPr>
              <w:t>25</w:t>
            </w:r>
          </w:p>
        </w:tc>
        <w:tc>
          <w:tcPr>
            <w:tcW w:w="1764"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nil"/>
              <w:right w:val="nil"/>
            </w:tcBorders>
            <w:shd w:val="clear" w:color="auto" w:fill="auto"/>
            <w:noWrap w:val="0"/>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 xml:space="preserve">                    转入事业基金</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rPr>
              <w:t>54</w:t>
            </w:r>
          </w:p>
        </w:tc>
        <w:tc>
          <w:tcPr>
            <w:tcW w:w="1699" w:type="dxa"/>
            <w:tcBorders>
              <w:top w:val="single" w:color="000000" w:sz="4" w:space="0"/>
              <w:left w:val="nil"/>
              <w:bottom w:val="nil"/>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nil"/>
              <w:right w:val="nil"/>
            </w:tcBorders>
            <w:shd w:val="clear" w:color="auto" w:fill="auto"/>
            <w:noWrap w:val="0"/>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rPr>
              <w:t>26</w:t>
            </w:r>
          </w:p>
        </w:tc>
        <w:tc>
          <w:tcPr>
            <w:tcW w:w="1764"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nil"/>
              <w:right w:val="nil"/>
            </w:tcBorders>
            <w:shd w:val="clear" w:color="auto" w:fill="auto"/>
            <w:noWrap w:val="0"/>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kern w:val="0"/>
                <w:sz w:val="20"/>
                <w:szCs w:val="20"/>
                <w:lang w:bidi="ar"/>
              </w:rPr>
              <w:t xml:space="preserve">           年末结转和结余</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55</w:t>
            </w:r>
          </w:p>
        </w:tc>
        <w:tc>
          <w:tcPr>
            <w:tcW w:w="1699" w:type="dxa"/>
            <w:tcBorders>
              <w:top w:val="single" w:color="000000" w:sz="4" w:space="0"/>
              <w:left w:val="nil"/>
              <w:bottom w:val="nil"/>
              <w:right w:val="single" w:color="000000" w:sz="8" w:space="0"/>
            </w:tcBorders>
            <w:noWrap w:val="0"/>
            <w:tcMar>
              <w:top w:w="15" w:type="dxa"/>
              <w:left w:w="15" w:type="dxa"/>
              <w:right w:w="15" w:type="dxa"/>
            </w:tcMar>
            <w:vAlign w:val="center"/>
          </w:tcPr>
          <w:p>
            <w:pPr>
              <w:ind w:firstLine="600" w:firstLineChars="300"/>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1.96</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nil"/>
              <w:right w:val="nil"/>
            </w:tcBorders>
            <w:shd w:val="clear" w:color="auto" w:fill="auto"/>
            <w:noWrap w:val="0"/>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rPr>
              <w:t>27</w:t>
            </w:r>
          </w:p>
        </w:tc>
        <w:tc>
          <w:tcPr>
            <w:tcW w:w="1764"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nil"/>
              <w:right w:val="nil"/>
            </w:tcBorders>
            <w:shd w:val="clear" w:color="auto" w:fill="auto"/>
            <w:noWrap w:val="0"/>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 xml:space="preserve">              其中：项目支出结转和结余</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56</w:t>
            </w:r>
          </w:p>
        </w:tc>
        <w:tc>
          <w:tcPr>
            <w:tcW w:w="1699" w:type="dxa"/>
            <w:tcBorders>
              <w:top w:val="single" w:color="000000" w:sz="4" w:space="0"/>
              <w:left w:val="nil"/>
              <w:bottom w:val="nil"/>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nil"/>
              <w:right w:val="nil"/>
            </w:tcBorders>
            <w:shd w:val="clear" w:color="auto" w:fill="auto"/>
            <w:noWrap w:val="0"/>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tabs>
                <w:tab w:val="left" w:pos="375"/>
              </w:tabs>
              <w:jc w:val="center"/>
              <w:textAlignment w:val="center"/>
              <w:rPr>
                <w:rFonts w:hint="eastAsia" w:ascii="宋体" w:hAnsi="宋体" w:cs="宋体"/>
                <w:color w:val="000000"/>
                <w:sz w:val="20"/>
                <w:szCs w:val="20"/>
              </w:rPr>
            </w:pPr>
            <w:r>
              <w:rPr>
                <w:rFonts w:hint="eastAsia" w:ascii="宋体" w:hAnsi="宋体" w:cs="宋体"/>
                <w:color w:val="000000"/>
                <w:sz w:val="20"/>
                <w:szCs w:val="20"/>
              </w:rPr>
              <w:t>28</w:t>
            </w:r>
          </w:p>
        </w:tc>
        <w:tc>
          <w:tcPr>
            <w:tcW w:w="1764"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nil"/>
              <w:right w:val="nil"/>
            </w:tcBorders>
            <w:shd w:val="clear" w:color="auto" w:fill="auto"/>
            <w:noWrap w:val="0"/>
            <w:tcMar>
              <w:top w:w="15" w:type="dxa"/>
              <w:left w:w="15" w:type="dxa"/>
              <w:right w:w="15" w:type="dxa"/>
            </w:tcMar>
            <w:vAlign w:val="center"/>
          </w:tcPr>
          <w:p>
            <w:pPr>
              <w:jc w:val="left"/>
              <w:rPr>
                <w:rFonts w:hint="eastAsia" w:ascii="宋体" w:hAnsi="宋体"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57</w:t>
            </w:r>
          </w:p>
        </w:tc>
        <w:tc>
          <w:tcPr>
            <w:tcW w:w="1699" w:type="dxa"/>
            <w:tcBorders>
              <w:top w:val="single" w:color="000000" w:sz="4" w:space="0"/>
              <w:left w:val="nil"/>
              <w:bottom w:val="nil"/>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8"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w:t>
            </w:r>
          </w:p>
        </w:tc>
        <w:tc>
          <w:tcPr>
            <w:tcW w:w="1764"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pPr>
              <w:tabs>
                <w:tab w:val="left" w:pos="398"/>
              </w:tabs>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366.61</w:t>
            </w:r>
          </w:p>
        </w:tc>
        <w:tc>
          <w:tcPr>
            <w:tcW w:w="4671" w:type="dxa"/>
            <w:tcBorders>
              <w:top w:val="single" w:color="000000" w:sz="4" w:space="0"/>
              <w:left w:val="single" w:color="000000" w:sz="4" w:space="0"/>
              <w:bottom w:val="single" w:color="000000" w:sz="8"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58</w:t>
            </w:r>
          </w:p>
        </w:tc>
        <w:tc>
          <w:tcPr>
            <w:tcW w:w="1699" w:type="dxa"/>
            <w:tcBorders>
              <w:top w:val="single" w:color="000000" w:sz="4" w:space="0"/>
              <w:left w:val="nil"/>
              <w:bottom w:val="single" w:color="000000" w:sz="8" w:space="0"/>
              <w:right w:val="single" w:color="000000" w:sz="8" w:space="0"/>
            </w:tcBorders>
            <w:noWrap w:val="0"/>
            <w:tcMar>
              <w:top w:w="15" w:type="dxa"/>
              <w:left w:w="15" w:type="dxa"/>
              <w:right w:w="15" w:type="dxa"/>
            </w:tcMar>
            <w:vAlign w:val="center"/>
          </w:tcPr>
          <w:p>
            <w:pPr>
              <w:jc w:val="right"/>
              <w:rPr>
                <w:rFonts w:hint="default" w:ascii="宋体" w:hAnsi="宋体" w:eastAsia="宋体" w:cs="宋体"/>
                <w:b/>
                <w:color w:val="000000"/>
                <w:sz w:val="20"/>
                <w:szCs w:val="20"/>
                <w:lang w:val="en-US" w:eastAsia="zh-CN"/>
              </w:rPr>
            </w:pPr>
            <w:r>
              <w:rPr>
                <w:rFonts w:hint="eastAsia" w:ascii="宋体" w:hAnsi="宋体" w:cs="宋体"/>
                <w:b/>
                <w:color w:val="000000"/>
                <w:sz w:val="20"/>
                <w:szCs w:val="20"/>
                <w:lang w:val="en-US" w:eastAsia="zh-CN"/>
              </w:rPr>
              <w:t>366.61</w:t>
            </w:r>
          </w:p>
        </w:tc>
      </w:tr>
      <w:tr>
        <w:tblPrEx>
          <w:tblCellMar>
            <w:top w:w="0" w:type="dxa"/>
            <w:left w:w="0" w:type="dxa"/>
            <w:bottom w:w="0" w:type="dxa"/>
            <w:right w:w="0" w:type="dxa"/>
          </w:tblCellMar>
        </w:tblPrEx>
        <w:trPr>
          <w:trHeight w:val="585" w:hRule="atLeast"/>
        </w:trPr>
        <w:tc>
          <w:tcPr>
            <w:tcW w:w="13988" w:type="dxa"/>
            <w:gridSpan w:val="6"/>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注：本表反映部门本年度的总收支和年末结转结余情况。本表金额转换为万元时，因四舍五入可能存在尾差。</w:t>
            </w: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0" w:type="auto"/>
        <w:tblInd w:w="0" w:type="dxa"/>
        <w:tblLayout w:type="fixed"/>
        <w:tblCellMar>
          <w:top w:w="0" w:type="dxa"/>
          <w:left w:w="0" w:type="dxa"/>
          <w:bottom w:w="0" w:type="dxa"/>
          <w:right w:w="0" w:type="dxa"/>
        </w:tblCellMar>
      </w:tblPr>
      <w:tblGrid>
        <w:gridCol w:w="846"/>
        <w:gridCol w:w="240"/>
        <w:gridCol w:w="1723"/>
        <w:gridCol w:w="1189"/>
        <w:gridCol w:w="1641"/>
        <w:gridCol w:w="1377"/>
        <w:gridCol w:w="264"/>
        <w:gridCol w:w="1289"/>
        <w:gridCol w:w="352"/>
        <w:gridCol w:w="1201"/>
        <w:gridCol w:w="440"/>
        <w:gridCol w:w="1113"/>
        <w:gridCol w:w="528"/>
        <w:gridCol w:w="1642"/>
      </w:tblGrid>
      <w:tr>
        <w:tblPrEx>
          <w:tblCellMar>
            <w:top w:w="0" w:type="dxa"/>
            <w:left w:w="0" w:type="dxa"/>
            <w:bottom w:w="0" w:type="dxa"/>
            <w:right w:w="0" w:type="dxa"/>
          </w:tblCellMar>
        </w:tblPrEx>
        <w:trPr>
          <w:trHeight w:val="435" w:hRule="atLeast"/>
        </w:trPr>
        <w:tc>
          <w:tcPr>
            <w:tcW w:w="13845" w:type="dxa"/>
            <w:gridSpan w:val="14"/>
            <w:tcBorders>
              <w:top w:val="nil"/>
              <w:left w:val="nil"/>
              <w:bottom w:val="nil"/>
              <w:right w:val="nil"/>
            </w:tcBorders>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收入决算表</w:t>
            </w:r>
          </w:p>
        </w:tc>
      </w:tr>
      <w:tr>
        <w:tblPrEx>
          <w:tblCellMar>
            <w:top w:w="0" w:type="dxa"/>
            <w:left w:w="0" w:type="dxa"/>
            <w:bottom w:w="0" w:type="dxa"/>
            <w:right w:w="0" w:type="dxa"/>
          </w:tblCellMar>
        </w:tblPrEx>
        <w:trPr>
          <w:trHeight w:val="285" w:hRule="atLeast"/>
        </w:trPr>
        <w:tc>
          <w:tcPr>
            <w:tcW w:w="846"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240"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723"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189"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377"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2170" w:type="dxa"/>
            <w:gridSpan w:val="2"/>
            <w:tcBorders>
              <w:top w:val="nil"/>
              <w:left w:val="nil"/>
              <w:bottom w:val="nil"/>
              <w:right w:val="nil"/>
            </w:tcBorders>
            <w:shd w:val="clear" w:color="auto"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公开02表</w:t>
            </w:r>
          </w:p>
        </w:tc>
      </w:tr>
      <w:tr>
        <w:tblPrEx>
          <w:tblCellMar>
            <w:top w:w="0" w:type="dxa"/>
            <w:left w:w="0" w:type="dxa"/>
            <w:bottom w:w="0" w:type="dxa"/>
            <w:right w:w="0" w:type="dxa"/>
          </w:tblCellMar>
        </w:tblPrEx>
        <w:trPr>
          <w:trHeight w:val="300" w:hRule="atLeast"/>
        </w:trPr>
        <w:tc>
          <w:tcPr>
            <w:tcW w:w="2809" w:type="dxa"/>
            <w:gridSpan w:val="3"/>
            <w:tcBorders>
              <w:top w:val="nil"/>
              <w:left w:val="nil"/>
              <w:bottom w:val="nil"/>
              <w:right w:val="nil"/>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kern w:val="0"/>
                <w:sz w:val="20"/>
                <w:szCs w:val="20"/>
                <w:lang w:bidi="ar"/>
              </w:rPr>
              <w:t>部门：义马市统计局</w:t>
            </w:r>
          </w:p>
        </w:tc>
        <w:tc>
          <w:tcPr>
            <w:tcW w:w="1189"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377"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2170" w:type="dxa"/>
            <w:gridSpan w:val="2"/>
            <w:tcBorders>
              <w:top w:val="nil"/>
              <w:left w:val="nil"/>
              <w:bottom w:val="nil"/>
              <w:right w:val="nil"/>
            </w:tcBorders>
            <w:shd w:val="clear" w:color="auto"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50" w:hRule="atLeast"/>
        </w:trPr>
        <w:tc>
          <w:tcPr>
            <w:tcW w:w="2809" w:type="dxa"/>
            <w:gridSpan w:val="3"/>
            <w:tcBorders>
              <w:top w:val="single" w:color="000000" w:sz="8"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189" w:type="dxa"/>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本年收入合计</w:t>
            </w:r>
          </w:p>
        </w:tc>
        <w:tc>
          <w:tcPr>
            <w:tcW w:w="1641" w:type="dxa"/>
            <w:vMerge w:val="restart"/>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财政拨款收入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上级补助收入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事业收入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附属单位上缴收入</w:t>
            </w:r>
          </w:p>
        </w:tc>
        <w:tc>
          <w:tcPr>
            <w:tcW w:w="1642" w:type="dxa"/>
            <w:vMerge w:val="restart"/>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其他收入</w:t>
            </w:r>
          </w:p>
        </w:tc>
      </w:tr>
      <w:tr>
        <w:tblPrEx>
          <w:tblCellMar>
            <w:top w:w="0" w:type="dxa"/>
            <w:left w:w="0" w:type="dxa"/>
            <w:bottom w:w="0" w:type="dxa"/>
            <w:right w:w="0" w:type="dxa"/>
          </w:tblCellMar>
        </w:tblPrEx>
        <w:trPr>
          <w:trHeight w:val="450" w:hRule="atLeast"/>
        </w:trPr>
        <w:tc>
          <w:tcPr>
            <w:tcW w:w="1086" w:type="dxa"/>
            <w:gridSpan w:val="2"/>
            <w:vMerge w:val="restart"/>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172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189" w:type="dxa"/>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vMerge w:val="continue"/>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189" w:type="dxa"/>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2809" w:type="dxa"/>
            <w:gridSpan w:val="3"/>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6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642" w:type="dxa"/>
            <w:tcBorders>
              <w:top w:val="single" w:color="000000" w:sz="4"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r>
      <w:tr>
        <w:tblPrEx>
          <w:tblCellMar>
            <w:top w:w="0" w:type="dxa"/>
            <w:left w:w="0" w:type="dxa"/>
            <w:bottom w:w="0" w:type="dxa"/>
            <w:right w:w="0" w:type="dxa"/>
          </w:tblCellMar>
        </w:tblPrEx>
        <w:trPr>
          <w:trHeight w:val="450" w:hRule="atLeast"/>
        </w:trPr>
        <w:tc>
          <w:tcPr>
            <w:tcW w:w="2809" w:type="dxa"/>
            <w:gridSpan w:val="3"/>
            <w:tcBorders>
              <w:top w:val="nil"/>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1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b/>
                <w:sz w:val="20"/>
                <w:szCs w:val="20"/>
                <w:lang w:val="en-US" w:eastAsia="zh-CN"/>
              </w:rPr>
              <w:t>366.61</w:t>
            </w:r>
          </w:p>
        </w:tc>
        <w:tc>
          <w:tcPr>
            <w:tcW w:w="1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b/>
                <w:sz w:val="20"/>
                <w:szCs w:val="20"/>
                <w:lang w:val="en-US" w:eastAsia="zh-CN"/>
              </w:rPr>
              <w:t>366.59</w:t>
            </w: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rPr>
              <w:t>0.0</w:t>
            </w:r>
            <w:r>
              <w:rPr>
                <w:rFonts w:hint="eastAsia" w:ascii="宋体" w:hAnsi="宋体" w:cs="宋体"/>
                <w:color w:val="000000"/>
                <w:sz w:val="20"/>
                <w:szCs w:val="20"/>
                <w:lang w:val="en-US" w:eastAsia="zh-CN"/>
              </w:rPr>
              <w:t>2</w:t>
            </w: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201</w:t>
            </w:r>
          </w:p>
        </w:tc>
        <w:tc>
          <w:tcPr>
            <w:tcW w:w="172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一般公共服务支出</w:t>
            </w:r>
          </w:p>
        </w:tc>
        <w:tc>
          <w:tcPr>
            <w:tcW w:w="11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sz w:val="20"/>
                <w:szCs w:val="20"/>
                <w:lang w:val="en-US" w:eastAsia="zh-CN"/>
              </w:rPr>
              <w:t>310.31</w:t>
            </w:r>
          </w:p>
        </w:tc>
        <w:tc>
          <w:tcPr>
            <w:tcW w:w="1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sz w:val="20"/>
                <w:szCs w:val="20"/>
                <w:lang w:val="en-US" w:eastAsia="zh-CN"/>
              </w:rPr>
              <w:t>310.29</w:t>
            </w: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rPr>
              <w:t>0.0</w:t>
            </w:r>
            <w:r>
              <w:rPr>
                <w:rFonts w:hint="eastAsia" w:ascii="宋体" w:hAnsi="宋体" w:cs="宋体"/>
                <w:color w:val="000000"/>
                <w:sz w:val="20"/>
                <w:szCs w:val="20"/>
                <w:lang w:val="en-US" w:eastAsia="zh-CN"/>
              </w:rPr>
              <w:t>2</w:t>
            </w: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20105</w:t>
            </w:r>
          </w:p>
        </w:tc>
        <w:tc>
          <w:tcPr>
            <w:tcW w:w="172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统计信息事务</w:t>
            </w:r>
          </w:p>
        </w:tc>
        <w:tc>
          <w:tcPr>
            <w:tcW w:w="11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sz w:val="20"/>
                <w:szCs w:val="20"/>
                <w:lang w:val="en-US" w:eastAsia="zh-CN"/>
              </w:rPr>
              <w:t>310.31</w:t>
            </w:r>
          </w:p>
        </w:tc>
        <w:tc>
          <w:tcPr>
            <w:tcW w:w="1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sz w:val="20"/>
                <w:szCs w:val="20"/>
                <w:lang w:val="en-US" w:eastAsia="zh-CN"/>
              </w:rPr>
              <w:t>310.29</w:t>
            </w: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rPr>
              <w:t>0.0</w:t>
            </w:r>
            <w:r>
              <w:rPr>
                <w:rFonts w:hint="eastAsia" w:ascii="宋体" w:hAnsi="宋体" w:cs="宋体"/>
                <w:color w:val="000000"/>
                <w:sz w:val="20"/>
                <w:szCs w:val="20"/>
                <w:lang w:val="en-US" w:eastAsia="zh-CN"/>
              </w:rPr>
              <w:t>2</w:t>
            </w: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2010501</w:t>
            </w:r>
          </w:p>
        </w:tc>
        <w:tc>
          <w:tcPr>
            <w:tcW w:w="172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行政运行</w:t>
            </w:r>
          </w:p>
        </w:tc>
        <w:tc>
          <w:tcPr>
            <w:tcW w:w="11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sz w:val="20"/>
                <w:szCs w:val="20"/>
                <w:lang w:val="en-US" w:eastAsia="zh-CN"/>
              </w:rPr>
              <w:t>201.77</w:t>
            </w:r>
          </w:p>
        </w:tc>
        <w:tc>
          <w:tcPr>
            <w:tcW w:w="1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cs="宋体"/>
                <w:sz w:val="20"/>
                <w:szCs w:val="20"/>
                <w:lang w:val="en-US" w:eastAsia="zh-CN"/>
              </w:rPr>
              <w:t>201.74</w:t>
            </w: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0.02</w:t>
            </w: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2010599</w:t>
            </w:r>
          </w:p>
        </w:tc>
        <w:tc>
          <w:tcPr>
            <w:tcW w:w="172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其他统计信息事务支出</w:t>
            </w:r>
          </w:p>
        </w:tc>
        <w:tc>
          <w:tcPr>
            <w:tcW w:w="11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sz w:val="20"/>
                <w:szCs w:val="20"/>
                <w:lang w:val="en-US" w:eastAsia="zh-CN"/>
              </w:rPr>
              <w:t>108.54</w:t>
            </w:r>
          </w:p>
        </w:tc>
        <w:tc>
          <w:tcPr>
            <w:tcW w:w="1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cs="宋体"/>
                <w:sz w:val="20"/>
                <w:szCs w:val="20"/>
                <w:lang w:val="en-US" w:eastAsia="zh-CN"/>
              </w:rPr>
              <w:t>108.54</w:t>
            </w: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208</w:t>
            </w:r>
          </w:p>
        </w:tc>
        <w:tc>
          <w:tcPr>
            <w:tcW w:w="172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社会保障和就业支出</w:t>
            </w:r>
          </w:p>
        </w:tc>
        <w:tc>
          <w:tcPr>
            <w:tcW w:w="11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sz w:val="20"/>
                <w:szCs w:val="20"/>
                <w:lang w:val="en-US" w:eastAsia="zh-CN"/>
              </w:rPr>
              <w:t>27.51</w:t>
            </w:r>
          </w:p>
        </w:tc>
        <w:tc>
          <w:tcPr>
            <w:tcW w:w="1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cs="宋体"/>
                <w:sz w:val="20"/>
                <w:szCs w:val="20"/>
                <w:lang w:val="en-US" w:eastAsia="zh-CN"/>
              </w:rPr>
              <w:t>27.51</w:t>
            </w: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20805</w:t>
            </w:r>
          </w:p>
        </w:tc>
        <w:tc>
          <w:tcPr>
            <w:tcW w:w="172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行政事业单位离退休</w:t>
            </w:r>
          </w:p>
        </w:tc>
        <w:tc>
          <w:tcPr>
            <w:tcW w:w="11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sz w:val="20"/>
                <w:szCs w:val="20"/>
                <w:lang w:val="en-US" w:eastAsia="zh-CN"/>
              </w:rPr>
              <w:t>27.51</w:t>
            </w:r>
          </w:p>
        </w:tc>
        <w:tc>
          <w:tcPr>
            <w:tcW w:w="1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cs="宋体"/>
                <w:sz w:val="20"/>
                <w:szCs w:val="20"/>
                <w:lang w:val="en-US" w:eastAsia="zh-CN"/>
              </w:rPr>
              <w:t>27.51</w:t>
            </w: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2080501</w:t>
            </w:r>
          </w:p>
        </w:tc>
        <w:tc>
          <w:tcPr>
            <w:tcW w:w="172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归口管理的行政单位离退休</w:t>
            </w:r>
          </w:p>
        </w:tc>
        <w:tc>
          <w:tcPr>
            <w:tcW w:w="11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sz w:val="20"/>
                <w:szCs w:val="20"/>
                <w:lang w:val="en-US" w:eastAsia="zh-CN"/>
              </w:rPr>
              <w:t>5.40</w:t>
            </w:r>
          </w:p>
        </w:tc>
        <w:tc>
          <w:tcPr>
            <w:tcW w:w="1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cs="宋体"/>
                <w:sz w:val="20"/>
                <w:szCs w:val="20"/>
                <w:lang w:val="en-US" w:eastAsia="zh-CN"/>
              </w:rPr>
              <w:t>5.40</w:t>
            </w: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2080505</w:t>
            </w:r>
          </w:p>
        </w:tc>
        <w:tc>
          <w:tcPr>
            <w:tcW w:w="172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机关事业单位基本养老保险缴费支出</w:t>
            </w:r>
          </w:p>
        </w:tc>
        <w:tc>
          <w:tcPr>
            <w:tcW w:w="11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sz w:val="20"/>
                <w:szCs w:val="20"/>
                <w:lang w:val="en-US" w:eastAsia="zh-CN"/>
              </w:rPr>
              <w:t>22.11</w:t>
            </w:r>
          </w:p>
        </w:tc>
        <w:tc>
          <w:tcPr>
            <w:tcW w:w="1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cs="宋体"/>
                <w:sz w:val="20"/>
                <w:szCs w:val="20"/>
                <w:lang w:val="en-US" w:eastAsia="zh-CN"/>
              </w:rPr>
              <w:t>22.11</w:t>
            </w: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210</w:t>
            </w:r>
          </w:p>
        </w:tc>
        <w:tc>
          <w:tcPr>
            <w:tcW w:w="172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医疗卫生与计划生育支出</w:t>
            </w:r>
          </w:p>
        </w:tc>
        <w:tc>
          <w:tcPr>
            <w:tcW w:w="11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sz w:val="20"/>
                <w:szCs w:val="20"/>
                <w:lang w:val="en-US" w:eastAsia="zh-CN"/>
              </w:rPr>
              <w:t>9.99</w:t>
            </w:r>
          </w:p>
        </w:tc>
        <w:tc>
          <w:tcPr>
            <w:tcW w:w="1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color w:val="000000"/>
                <w:kern w:val="2"/>
                <w:sz w:val="20"/>
                <w:szCs w:val="20"/>
                <w:lang w:val="en-US" w:eastAsia="zh-CN" w:bidi="ar-SA"/>
              </w:rPr>
            </w:pPr>
            <w:r>
              <w:rPr>
                <w:rFonts w:hint="eastAsia" w:ascii="宋体" w:hAnsi="宋体" w:cs="宋体"/>
                <w:sz w:val="20"/>
                <w:szCs w:val="20"/>
                <w:lang w:val="en-US" w:eastAsia="zh-CN"/>
              </w:rPr>
              <w:t>9.99</w:t>
            </w: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21011</w:t>
            </w:r>
          </w:p>
        </w:tc>
        <w:tc>
          <w:tcPr>
            <w:tcW w:w="172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行政事业单位医疗</w:t>
            </w:r>
          </w:p>
        </w:tc>
        <w:tc>
          <w:tcPr>
            <w:tcW w:w="11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华文中宋"/>
                <w:color w:val="000000"/>
                <w:sz w:val="20"/>
                <w:szCs w:val="20"/>
                <w:lang w:val="en-US" w:eastAsia="zh-CN"/>
              </w:rPr>
            </w:pPr>
            <w:r>
              <w:rPr>
                <w:rFonts w:hint="eastAsia" w:ascii="宋体" w:hAnsi="宋体" w:cs="宋体"/>
                <w:sz w:val="20"/>
                <w:szCs w:val="20"/>
                <w:lang w:val="en-US" w:eastAsia="zh-CN"/>
              </w:rPr>
              <w:t>9.99</w:t>
            </w:r>
          </w:p>
        </w:tc>
        <w:tc>
          <w:tcPr>
            <w:tcW w:w="1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华文中宋"/>
                <w:color w:val="000000"/>
                <w:kern w:val="2"/>
                <w:sz w:val="20"/>
                <w:szCs w:val="20"/>
                <w:lang w:val="en-US" w:eastAsia="zh-CN" w:bidi="ar-SA"/>
              </w:rPr>
            </w:pPr>
            <w:r>
              <w:rPr>
                <w:rFonts w:hint="eastAsia" w:ascii="宋体" w:hAnsi="宋体" w:cs="宋体"/>
                <w:sz w:val="20"/>
                <w:szCs w:val="20"/>
                <w:lang w:val="en-US" w:eastAsia="zh-CN"/>
              </w:rPr>
              <w:t>9.99</w:t>
            </w: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2101101</w:t>
            </w:r>
          </w:p>
        </w:tc>
        <w:tc>
          <w:tcPr>
            <w:tcW w:w="172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行政单位医疗</w:t>
            </w:r>
          </w:p>
        </w:tc>
        <w:tc>
          <w:tcPr>
            <w:tcW w:w="11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sz w:val="20"/>
                <w:szCs w:val="20"/>
                <w:lang w:val="en-US" w:eastAsia="zh-CN"/>
              </w:rPr>
              <w:t>9.99</w:t>
            </w:r>
          </w:p>
        </w:tc>
        <w:tc>
          <w:tcPr>
            <w:tcW w:w="1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color w:val="000000"/>
                <w:kern w:val="2"/>
                <w:sz w:val="20"/>
                <w:szCs w:val="20"/>
                <w:lang w:val="en-US" w:eastAsia="zh-CN" w:bidi="ar-SA"/>
              </w:rPr>
            </w:pPr>
            <w:r>
              <w:rPr>
                <w:rFonts w:hint="eastAsia" w:ascii="宋体" w:hAnsi="宋体" w:cs="宋体"/>
                <w:sz w:val="20"/>
                <w:szCs w:val="20"/>
                <w:lang w:val="en-US" w:eastAsia="zh-CN"/>
              </w:rPr>
              <w:t>9.99</w:t>
            </w: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221</w:t>
            </w:r>
          </w:p>
        </w:tc>
        <w:tc>
          <w:tcPr>
            <w:tcW w:w="172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住房保障支出</w:t>
            </w:r>
          </w:p>
        </w:tc>
        <w:tc>
          <w:tcPr>
            <w:tcW w:w="11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sz w:val="20"/>
                <w:szCs w:val="20"/>
                <w:lang w:val="en-US" w:eastAsia="zh-CN"/>
              </w:rPr>
              <w:t>18.80</w:t>
            </w:r>
          </w:p>
        </w:tc>
        <w:tc>
          <w:tcPr>
            <w:tcW w:w="1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color w:val="000000"/>
                <w:kern w:val="2"/>
                <w:sz w:val="20"/>
                <w:szCs w:val="20"/>
                <w:lang w:val="en-US" w:eastAsia="zh-CN" w:bidi="ar-SA"/>
              </w:rPr>
            </w:pPr>
            <w:r>
              <w:rPr>
                <w:rFonts w:hint="eastAsia" w:ascii="宋体" w:hAnsi="宋体" w:cs="宋体"/>
                <w:sz w:val="20"/>
                <w:szCs w:val="20"/>
                <w:lang w:val="en-US" w:eastAsia="zh-CN"/>
              </w:rPr>
              <w:t>18.80</w:t>
            </w: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22102</w:t>
            </w:r>
          </w:p>
        </w:tc>
        <w:tc>
          <w:tcPr>
            <w:tcW w:w="172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住房改革支出</w:t>
            </w:r>
          </w:p>
        </w:tc>
        <w:tc>
          <w:tcPr>
            <w:tcW w:w="11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sz w:val="20"/>
                <w:szCs w:val="20"/>
                <w:lang w:val="en-US" w:eastAsia="zh-CN"/>
              </w:rPr>
              <w:t>18.80</w:t>
            </w:r>
          </w:p>
        </w:tc>
        <w:tc>
          <w:tcPr>
            <w:tcW w:w="1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color w:val="000000"/>
                <w:kern w:val="2"/>
                <w:sz w:val="20"/>
                <w:szCs w:val="20"/>
                <w:lang w:val="en-US" w:eastAsia="zh-CN" w:bidi="ar-SA"/>
              </w:rPr>
            </w:pPr>
            <w:r>
              <w:rPr>
                <w:rFonts w:hint="eastAsia" w:ascii="宋体" w:hAnsi="宋体" w:cs="宋体"/>
                <w:sz w:val="20"/>
                <w:szCs w:val="20"/>
                <w:lang w:val="en-US" w:eastAsia="zh-CN"/>
              </w:rPr>
              <w:t>18.80</w:t>
            </w: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2210201</w:t>
            </w:r>
          </w:p>
        </w:tc>
        <w:tc>
          <w:tcPr>
            <w:tcW w:w="1723" w:type="dxa"/>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住房公积金</w:t>
            </w:r>
          </w:p>
        </w:tc>
        <w:tc>
          <w:tcPr>
            <w:tcW w:w="118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sz w:val="20"/>
                <w:szCs w:val="20"/>
                <w:lang w:val="en-US" w:eastAsia="zh-CN"/>
              </w:rPr>
              <w:t>18.80</w:t>
            </w:r>
          </w:p>
        </w:tc>
        <w:tc>
          <w:tcPr>
            <w:tcW w:w="164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eastAsia" w:ascii="宋体" w:hAnsi="宋体" w:eastAsia="宋体" w:cs="宋体"/>
                <w:color w:val="000000"/>
                <w:kern w:val="2"/>
                <w:sz w:val="20"/>
                <w:szCs w:val="20"/>
                <w:lang w:val="en-US" w:eastAsia="zh-CN" w:bidi="ar-SA"/>
              </w:rPr>
            </w:pPr>
            <w:r>
              <w:rPr>
                <w:rFonts w:hint="eastAsia" w:ascii="宋体" w:hAnsi="宋体" w:cs="宋体"/>
                <w:sz w:val="20"/>
                <w:szCs w:val="20"/>
                <w:lang w:val="en-US" w:eastAsia="zh-CN"/>
              </w:rPr>
              <w:t>18.80</w:t>
            </w:r>
          </w:p>
        </w:tc>
        <w:tc>
          <w:tcPr>
            <w:tcW w:w="1641"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615" w:hRule="atLeast"/>
        </w:trPr>
        <w:tc>
          <w:tcPr>
            <w:tcW w:w="13845" w:type="dxa"/>
            <w:gridSpan w:val="14"/>
            <w:tcBorders>
              <w:top w:val="single" w:color="000000" w:sz="8" w:space="0"/>
              <w:left w:val="nil"/>
              <w:bottom w:val="single" w:color="000000" w:sz="8" w:space="0"/>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注：本表反映部门本年度取得的各项收入情况。本表金额转换为万元时，因四舍五入可能存在尾差。</w:t>
            </w: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0" w:type="auto"/>
        <w:tblInd w:w="0" w:type="dxa"/>
        <w:tblLayout w:type="fixed"/>
        <w:tblCellMar>
          <w:top w:w="0" w:type="dxa"/>
          <w:left w:w="0" w:type="dxa"/>
          <w:bottom w:w="0" w:type="dxa"/>
          <w:right w:w="0" w:type="dxa"/>
        </w:tblCellMar>
      </w:tblPr>
      <w:tblGrid>
        <w:gridCol w:w="1120"/>
        <w:gridCol w:w="63"/>
        <w:gridCol w:w="27"/>
        <w:gridCol w:w="1349"/>
        <w:gridCol w:w="1774"/>
        <w:gridCol w:w="130"/>
        <w:gridCol w:w="1672"/>
        <w:gridCol w:w="232"/>
        <w:gridCol w:w="1569"/>
        <w:gridCol w:w="335"/>
        <w:gridCol w:w="1467"/>
        <w:gridCol w:w="437"/>
        <w:gridCol w:w="1364"/>
        <w:gridCol w:w="540"/>
        <w:gridCol w:w="1909"/>
      </w:tblGrid>
      <w:tr>
        <w:tblPrEx>
          <w:tblCellMar>
            <w:top w:w="0" w:type="dxa"/>
            <w:left w:w="0" w:type="dxa"/>
            <w:bottom w:w="0" w:type="dxa"/>
            <w:right w:w="0" w:type="dxa"/>
          </w:tblCellMar>
        </w:tblPrEx>
        <w:trPr>
          <w:trHeight w:val="435" w:hRule="atLeast"/>
        </w:trPr>
        <w:tc>
          <w:tcPr>
            <w:tcW w:w="13988" w:type="dxa"/>
            <w:gridSpan w:val="15"/>
            <w:tcBorders>
              <w:top w:val="nil"/>
              <w:left w:val="nil"/>
              <w:bottom w:val="nil"/>
              <w:right w:val="nil"/>
            </w:tcBorders>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支出决算表</w:t>
            </w:r>
          </w:p>
        </w:tc>
      </w:tr>
      <w:tr>
        <w:tblPrEx>
          <w:tblCellMar>
            <w:top w:w="0" w:type="dxa"/>
            <w:left w:w="0" w:type="dxa"/>
            <w:bottom w:w="0" w:type="dxa"/>
            <w:right w:w="0" w:type="dxa"/>
          </w:tblCellMar>
        </w:tblPrEx>
        <w:trPr>
          <w:trHeight w:val="285" w:hRule="atLeast"/>
        </w:trPr>
        <w:tc>
          <w:tcPr>
            <w:tcW w:w="1120"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90"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349"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774"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2449" w:type="dxa"/>
            <w:gridSpan w:val="2"/>
            <w:tcBorders>
              <w:top w:val="nil"/>
              <w:left w:val="nil"/>
              <w:bottom w:val="nil"/>
              <w:right w:val="nil"/>
            </w:tcBorders>
            <w:shd w:val="clear" w:color="auto"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公开03表</w:t>
            </w:r>
          </w:p>
        </w:tc>
      </w:tr>
      <w:tr>
        <w:tblPrEx>
          <w:tblCellMar>
            <w:top w:w="0" w:type="dxa"/>
            <w:left w:w="0" w:type="dxa"/>
            <w:bottom w:w="0" w:type="dxa"/>
            <w:right w:w="0" w:type="dxa"/>
          </w:tblCellMar>
        </w:tblPrEx>
        <w:trPr>
          <w:trHeight w:val="300" w:hRule="atLeast"/>
        </w:trPr>
        <w:tc>
          <w:tcPr>
            <w:tcW w:w="2559" w:type="dxa"/>
            <w:gridSpan w:val="4"/>
            <w:tcBorders>
              <w:top w:val="nil"/>
              <w:left w:val="nil"/>
              <w:bottom w:val="nil"/>
              <w:right w:val="nil"/>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kern w:val="0"/>
                <w:sz w:val="20"/>
                <w:szCs w:val="20"/>
                <w:lang w:bidi="ar"/>
              </w:rPr>
              <w:t>部门：义马市统计局</w:t>
            </w:r>
          </w:p>
        </w:tc>
        <w:tc>
          <w:tcPr>
            <w:tcW w:w="1774"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2449" w:type="dxa"/>
            <w:gridSpan w:val="2"/>
            <w:tcBorders>
              <w:top w:val="nil"/>
              <w:left w:val="nil"/>
              <w:bottom w:val="nil"/>
              <w:right w:val="nil"/>
            </w:tcBorders>
            <w:shd w:val="clear" w:color="auto"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50" w:hRule="atLeast"/>
        </w:trPr>
        <w:tc>
          <w:tcPr>
            <w:tcW w:w="2559" w:type="dxa"/>
            <w:gridSpan w:val="4"/>
            <w:tcBorders>
              <w:top w:val="single" w:color="000000" w:sz="8"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本年支出合计</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上缴上级支出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经营支出</w:t>
            </w:r>
          </w:p>
        </w:tc>
        <w:tc>
          <w:tcPr>
            <w:tcW w:w="1909" w:type="dxa"/>
            <w:vMerge w:val="restart"/>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对附属单位补助支出</w:t>
            </w:r>
          </w:p>
        </w:tc>
      </w:tr>
      <w:tr>
        <w:tblPrEx>
          <w:tblCellMar>
            <w:top w:w="0" w:type="dxa"/>
            <w:left w:w="0" w:type="dxa"/>
            <w:bottom w:w="0" w:type="dxa"/>
            <w:right w:w="0" w:type="dxa"/>
          </w:tblCellMar>
        </w:tblPrEx>
        <w:trPr>
          <w:trHeight w:val="450" w:hRule="atLeast"/>
        </w:trPr>
        <w:tc>
          <w:tcPr>
            <w:tcW w:w="1183" w:type="dxa"/>
            <w:gridSpan w:val="2"/>
            <w:vMerge w:val="restart"/>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137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vMerge w:val="continue"/>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3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2559" w:type="dxa"/>
            <w:gridSpan w:val="4"/>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909" w:type="dxa"/>
            <w:tcBorders>
              <w:top w:val="single" w:color="000000" w:sz="4"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0" w:type="dxa"/>
            <w:bottom w:w="0" w:type="dxa"/>
            <w:right w:w="0" w:type="dxa"/>
          </w:tblCellMar>
        </w:tblPrEx>
        <w:trPr>
          <w:trHeight w:val="450" w:hRule="atLeast"/>
        </w:trPr>
        <w:tc>
          <w:tcPr>
            <w:tcW w:w="2559" w:type="dxa"/>
            <w:gridSpan w:val="4"/>
            <w:tcBorders>
              <w:top w:val="nil"/>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b/>
                <w:sz w:val="20"/>
                <w:szCs w:val="20"/>
                <w:lang w:val="en-US" w:eastAsia="zh-CN"/>
              </w:rPr>
              <w:t>364.65</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color w:val="000000"/>
                <w:kern w:val="2"/>
                <w:sz w:val="20"/>
                <w:szCs w:val="20"/>
                <w:lang w:val="en-US" w:eastAsia="zh-CN" w:bidi="ar-SA"/>
              </w:rPr>
            </w:pPr>
            <w:r>
              <w:rPr>
                <w:rFonts w:hint="eastAsia" w:ascii="宋体" w:hAnsi="宋体" w:cs="宋体"/>
                <w:b/>
                <w:sz w:val="20"/>
                <w:szCs w:val="20"/>
                <w:lang w:val="en-US" w:eastAsia="zh-CN"/>
              </w:rPr>
              <w:t>364.65</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201</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一般公共服务支出</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308.35</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308.35</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20105</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统计信息事务</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cs="宋体"/>
                <w:sz w:val="20"/>
                <w:szCs w:val="20"/>
                <w:lang w:val="en-US" w:eastAsia="zh-CN"/>
              </w:rPr>
              <w:t>308.35</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sz w:val="20"/>
                <w:szCs w:val="20"/>
                <w:lang w:val="en-US" w:eastAsia="zh-CN"/>
              </w:rPr>
              <w:t>308.35</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2010501</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行政运行</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cs="宋体"/>
                <w:sz w:val="20"/>
                <w:szCs w:val="20"/>
                <w:lang w:val="en-US" w:eastAsia="zh-CN"/>
              </w:rPr>
              <w:t>201.74</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sz w:val="20"/>
                <w:szCs w:val="20"/>
                <w:lang w:val="en-US" w:eastAsia="zh-CN"/>
              </w:rPr>
              <w:t>201.74</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2010599</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其他统计信息事务支出</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cs="宋体"/>
                <w:sz w:val="20"/>
                <w:szCs w:val="20"/>
                <w:lang w:val="en-US" w:eastAsia="zh-CN"/>
              </w:rPr>
              <w:t>106.60</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sz w:val="20"/>
                <w:szCs w:val="20"/>
                <w:lang w:val="en-US" w:eastAsia="zh-CN"/>
              </w:rPr>
              <w:t>106.60</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208</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社会保障和就业支出</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cs="宋体"/>
                <w:sz w:val="20"/>
                <w:szCs w:val="20"/>
                <w:lang w:val="en-US" w:eastAsia="zh-CN"/>
              </w:rPr>
              <w:t>27.51</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sz w:val="20"/>
                <w:szCs w:val="20"/>
                <w:lang w:val="en-US" w:eastAsia="zh-CN"/>
              </w:rPr>
              <w:t>27.51</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20805</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行政事业单位离退休</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color w:val="000000"/>
                <w:kern w:val="2"/>
                <w:sz w:val="20"/>
                <w:szCs w:val="20"/>
                <w:lang w:val="en-US" w:eastAsia="zh-CN" w:bidi="ar-SA"/>
              </w:rPr>
            </w:pPr>
            <w:r>
              <w:rPr>
                <w:rFonts w:hint="eastAsia" w:ascii="宋体" w:hAnsi="宋体" w:cs="宋体"/>
                <w:sz w:val="20"/>
                <w:szCs w:val="20"/>
                <w:lang w:val="en-US" w:eastAsia="zh-CN"/>
              </w:rPr>
              <w:t>27.51</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sz w:val="20"/>
                <w:szCs w:val="20"/>
                <w:lang w:val="en-US" w:eastAsia="zh-CN"/>
              </w:rPr>
              <w:t>27.51</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2080501</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归口管理的行政单位离退休</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cs="宋体"/>
                <w:sz w:val="20"/>
                <w:szCs w:val="20"/>
                <w:lang w:val="en-US" w:eastAsia="zh-CN"/>
              </w:rPr>
              <w:t>5.40</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sz w:val="20"/>
                <w:szCs w:val="20"/>
                <w:lang w:val="en-US" w:eastAsia="zh-CN"/>
              </w:rPr>
              <w:t>5.40</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2080505</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机关事业单位基本养老保险缴费支出</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cs="宋体"/>
                <w:sz w:val="20"/>
                <w:szCs w:val="20"/>
                <w:lang w:val="en-US" w:eastAsia="zh-CN"/>
              </w:rPr>
              <w:t>22.11</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sz w:val="20"/>
                <w:szCs w:val="20"/>
                <w:lang w:val="en-US" w:eastAsia="zh-CN"/>
              </w:rPr>
              <w:t>22.11</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210</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医疗卫生与计划生育支出</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cs="宋体"/>
                <w:sz w:val="20"/>
                <w:szCs w:val="20"/>
                <w:lang w:val="en-US" w:eastAsia="zh-CN"/>
              </w:rPr>
              <w:t>9.99</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cs="宋体"/>
                <w:sz w:val="20"/>
                <w:szCs w:val="20"/>
                <w:lang w:val="en-US" w:eastAsia="zh-CN"/>
              </w:rPr>
              <w:t>9.99</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21011</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行政事业单位医疗</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color w:val="000000"/>
                <w:kern w:val="2"/>
                <w:sz w:val="20"/>
                <w:szCs w:val="20"/>
                <w:lang w:val="en-US" w:eastAsia="zh-CN" w:bidi="ar-SA"/>
              </w:rPr>
            </w:pPr>
            <w:r>
              <w:rPr>
                <w:rFonts w:hint="eastAsia" w:ascii="宋体" w:hAnsi="宋体" w:cs="宋体"/>
                <w:sz w:val="20"/>
                <w:szCs w:val="20"/>
                <w:lang w:val="en-US" w:eastAsia="zh-CN"/>
              </w:rPr>
              <w:t>9.99</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color w:val="000000"/>
                <w:kern w:val="2"/>
                <w:sz w:val="20"/>
                <w:szCs w:val="20"/>
                <w:lang w:val="en-US" w:eastAsia="zh-CN" w:bidi="ar-SA"/>
              </w:rPr>
            </w:pPr>
            <w:r>
              <w:rPr>
                <w:rFonts w:hint="eastAsia" w:ascii="宋体" w:hAnsi="宋体" w:cs="宋体"/>
                <w:sz w:val="20"/>
                <w:szCs w:val="20"/>
                <w:lang w:val="en-US" w:eastAsia="zh-CN"/>
              </w:rPr>
              <w:t>9.99</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2101101</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行政单位医疗</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color w:val="000000"/>
                <w:kern w:val="2"/>
                <w:sz w:val="20"/>
                <w:szCs w:val="20"/>
                <w:lang w:val="en-US" w:eastAsia="zh-CN" w:bidi="ar-SA"/>
              </w:rPr>
            </w:pPr>
            <w:r>
              <w:rPr>
                <w:rFonts w:hint="eastAsia" w:ascii="宋体" w:hAnsi="宋体" w:cs="宋体"/>
                <w:sz w:val="20"/>
                <w:szCs w:val="20"/>
                <w:lang w:val="en-US" w:eastAsia="zh-CN"/>
              </w:rPr>
              <w:t>9.99</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color w:val="000000"/>
                <w:kern w:val="2"/>
                <w:sz w:val="20"/>
                <w:szCs w:val="20"/>
                <w:lang w:val="en-US" w:eastAsia="zh-CN" w:bidi="ar-SA"/>
              </w:rPr>
            </w:pPr>
            <w:r>
              <w:rPr>
                <w:rFonts w:hint="eastAsia" w:ascii="宋体" w:hAnsi="宋体" w:cs="宋体"/>
                <w:sz w:val="20"/>
                <w:szCs w:val="20"/>
                <w:lang w:val="en-US" w:eastAsia="zh-CN"/>
              </w:rPr>
              <w:t>9.99</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221</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住房保障支出</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cs="宋体"/>
                <w:sz w:val="20"/>
                <w:szCs w:val="20"/>
                <w:lang w:val="en-US" w:eastAsia="zh-CN"/>
              </w:rPr>
              <w:t>18.80</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color w:val="000000"/>
                <w:kern w:val="2"/>
                <w:sz w:val="20"/>
                <w:szCs w:val="20"/>
                <w:lang w:val="en-US" w:eastAsia="zh-CN" w:bidi="ar-SA"/>
              </w:rPr>
            </w:pPr>
            <w:r>
              <w:rPr>
                <w:rFonts w:hint="eastAsia" w:ascii="宋体" w:hAnsi="宋体" w:cs="宋体"/>
                <w:sz w:val="20"/>
                <w:szCs w:val="20"/>
                <w:lang w:val="en-US" w:eastAsia="zh-CN"/>
              </w:rPr>
              <w:t>18.80</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22102</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住房改革支出</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color w:val="000000"/>
                <w:kern w:val="2"/>
                <w:sz w:val="20"/>
                <w:szCs w:val="20"/>
                <w:lang w:val="en-US" w:eastAsia="zh-CN" w:bidi="ar-SA"/>
              </w:rPr>
            </w:pPr>
            <w:r>
              <w:rPr>
                <w:rFonts w:hint="eastAsia" w:ascii="宋体" w:hAnsi="宋体" w:cs="宋体"/>
                <w:sz w:val="20"/>
                <w:szCs w:val="20"/>
                <w:lang w:val="en-US" w:eastAsia="zh-CN"/>
              </w:rPr>
              <w:t>18.80</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color w:val="000000"/>
                <w:kern w:val="2"/>
                <w:sz w:val="20"/>
                <w:szCs w:val="20"/>
                <w:lang w:val="en-US" w:eastAsia="zh-CN" w:bidi="ar-SA"/>
              </w:rPr>
            </w:pPr>
            <w:r>
              <w:rPr>
                <w:rFonts w:hint="eastAsia" w:ascii="宋体" w:hAnsi="宋体" w:cs="宋体"/>
                <w:sz w:val="20"/>
                <w:szCs w:val="20"/>
                <w:lang w:val="en-US" w:eastAsia="zh-CN"/>
              </w:rPr>
              <w:t>18.80</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2210201</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住房公积金</w:t>
            </w:r>
          </w:p>
        </w:tc>
        <w:tc>
          <w:tcPr>
            <w:tcW w:w="1904"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eastAsia" w:ascii="宋体" w:hAnsi="宋体" w:eastAsia="宋体" w:cs="宋体"/>
                <w:color w:val="000000"/>
                <w:kern w:val="2"/>
                <w:sz w:val="20"/>
                <w:szCs w:val="20"/>
                <w:lang w:val="en-US" w:eastAsia="zh-CN" w:bidi="ar-SA"/>
              </w:rPr>
            </w:pPr>
            <w:r>
              <w:rPr>
                <w:rFonts w:hint="eastAsia" w:ascii="宋体" w:hAnsi="宋体" w:cs="宋体"/>
                <w:sz w:val="20"/>
                <w:szCs w:val="20"/>
                <w:lang w:val="en-US" w:eastAsia="zh-CN"/>
              </w:rPr>
              <w:t>18.80</w:t>
            </w:r>
          </w:p>
        </w:tc>
        <w:tc>
          <w:tcPr>
            <w:tcW w:w="1904"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eastAsia" w:ascii="宋体" w:hAnsi="宋体" w:eastAsia="宋体" w:cs="宋体"/>
                <w:color w:val="000000"/>
                <w:kern w:val="2"/>
                <w:sz w:val="20"/>
                <w:szCs w:val="20"/>
                <w:lang w:val="en-US" w:eastAsia="zh-CN" w:bidi="ar-SA"/>
              </w:rPr>
            </w:pPr>
            <w:r>
              <w:rPr>
                <w:rFonts w:hint="eastAsia" w:ascii="宋体" w:hAnsi="宋体" w:cs="宋体"/>
                <w:sz w:val="20"/>
                <w:szCs w:val="20"/>
                <w:lang w:val="en-US" w:eastAsia="zh-CN"/>
              </w:rPr>
              <w:t>18.80</w:t>
            </w:r>
          </w:p>
        </w:tc>
        <w:tc>
          <w:tcPr>
            <w:tcW w:w="1904"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630" w:hRule="atLeast"/>
        </w:trPr>
        <w:tc>
          <w:tcPr>
            <w:tcW w:w="13988" w:type="dxa"/>
            <w:gridSpan w:val="15"/>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注：本表反映部门本年度各项支出情况。本表金额转换为万元时，因四舍五入可能存在尾差。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0" w:type="auto"/>
        <w:tblInd w:w="0" w:type="dxa"/>
        <w:tblLayout w:type="fixed"/>
        <w:tblCellMar>
          <w:top w:w="0" w:type="dxa"/>
          <w:left w:w="0" w:type="dxa"/>
          <w:bottom w:w="0" w:type="dxa"/>
          <w:right w:w="0" w:type="dxa"/>
        </w:tblCellMar>
      </w:tblPr>
      <w:tblGrid>
        <w:gridCol w:w="3994"/>
        <w:gridCol w:w="720"/>
        <w:gridCol w:w="1210"/>
        <w:gridCol w:w="3400"/>
        <w:gridCol w:w="597"/>
        <w:gridCol w:w="708"/>
        <w:gridCol w:w="1343"/>
        <w:gridCol w:w="336"/>
        <w:gridCol w:w="1680"/>
      </w:tblGrid>
      <w:tr>
        <w:tblPrEx>
          <w:tblCellMar>
            <w:top w:w="0" w:type="dxa"/>
            <w:left w:w="0" w:type="dxa"/>
            <w:bottom w:w="0" w:type="dxa"/>
            <w:right w:w="0" w:type="dxa"/>
          </w:tblCellMar>
        </w:tblPrEx>
        <w:trPr>
          <w:trHeight w:val="360" w:hRule="atLeast"/>
        </w:trPr>
        <w:tc>
          <w:tcPr>
            <w:tcW w:w="13988" w:type="dxa"/>
            <w:gridSpan w:val="9"/>
            <w:tcBorders>
              <w:top w:val="nil"/>
              <w:left w:val="nil"/>
              <w:bottom w:val="nil"/>
              <w:right w:val="nil"/>
            </w:tcBorders>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财政拨款收入支出决算总表</w:t>
            </w:r>
          </w:p>
        </w:tc>
      </w:tr>
      <w:tr>
        <w:tblPrEx>
          <w:tblCellMar>
            <w:top w:w="0" w:type="dxa"/>
            <w:left w:w="0" w:type="dxa"/>
            <w:bottom w:w="0" w:type="dxa"/>
            <w:right w:w="0" w:type="dxa"/>
          </w:tblCellMar>
        </w:tblPrEx>
        <w:trPr>
          <w:trHeight w:val="199" w:hRule="atLeast"/>
        </w:trPr>
        <w:tc>
          <w:tcPr>
            <w:tcW w:w="3994"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720"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210"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3400"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597"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708"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343"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2016" w:type="dxa"/>
            <w:gridSpan w:val="2"/>
            <w:tcBorders>
              <w:top w:val="nil"/>
              <w:left w:val="nil"/>
              <w:bottom w:val="nil"/>
              <w:right w:val="nil"/>
            </w:tcBorders>
            <w:shd w:val="clear" w:color="auto"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公开04表</w:t>
            </w:r>
          </w:p>
        </w:tc>
      </w:tr>
      <w:tr>
        <w:tblPrEx>
          <w:tblCellMar>
            <w:top w:w="0" w:type="dxa"/>
            <w:left w:w="0" w:type="dxa"/>
            <w:bottom w:w="0" w:type="dxa"/>
            <w:right w:w="0" w:type="dxa"/>
          </w:tblCellMar>
        </w:tblPrEx>
        <w:trPr>
          <w:trHeight w:val="300" w:hRule="atLeast"/>
        </w:trPr>
        <w:tc>
          <w:tcPr>
            <w:tcW w:w="3994" w:type="dxa"/>
            <w:tcBorders>
              <w:top w:val="nil"/>
              <w:left w:val="nil"/>
              <w:bottom w:val="nil"/>
              <w:right w:val="nil"/>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部门：义马市统计局</w:t>
            </w:r>
          </w:p>
        </w:tc>
        <w:tc>
          <w:tcPr>
            <w:tcW w:w="720"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210"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3400"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597"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708"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343"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2016" w:type="dxa"/>
            <w:gridSpan w:val="2"/>
            <w:tcBorders>
              <w:top w:val="nil"/>
              <w:left w:val="nil"/>
              <w:bottom w:val="nil"/>
              <w:right w:val="nil"/>
            </w:tcBorders>
            <w:shd w:val="clear" w:color="auto"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02" w:hRule="atLeast"/>
        </w:trPr>
        <w:tc>
          <w:tcPr>
            <w:tcW w:w="5924" w:type="dxa"/>
            <w:gridSpan w:val="3"/>
            <w:tcBorders>
              <w:top w:val="single" w:color="000000" w:sz="8"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收入</w:t>
            </w:r>
          </w:p>
        </w:tc>
        <w:tc>
          <w:tcPr>
            <w:tcW w:w="8064" w:type="dxa"/>
            <w:gridSpan w:val="6"/>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支出</w:t>
            </w:r>
          </w:p>
        </w:tc>
      </w:tr>
      <w:tr>
        <w:tblPrEx>
          <w:tblCellMar>
            <w:top w:w="0" w:type="dxa"/>
            <w:left w:w="0" w:type="dxa"/>
            <w:bottom w:w="0" w:type="dxa"/>
            <w:right w:w="0" w:type="dxa"/>
          </w:tblCellMar>
        </w:tblPrEx>
        <w:trPr>
          <w:trHeight w:val="630"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金额</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6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一般公共预算财政拨款</w:t>
            </w:r>
          </w:p>
        </w:tc>
        <w:tc>
          <w:tcPr>
            <w:tcW w:w="16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政府性基金预算财政拨款</w:t>
            </w: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680" w:type="dxa"/>
            <w:tcBorders>
              <w:top w:val="single" w:color="000000" w:sz="4"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366.59</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一、一般公共服务支出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kern w:val="0"/>
                <w:sz w:val="22"/>
                <w:lang w:bidi="ar"/>
              </w:rPr>
              <w:t>28</w:t>
            </w:r>
          </w:p>
        </w:tc>
        <w:tc>
          <w:tcPr>
            <w:tcW w:w="70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308.35</w:t>
            </w:r>
          </w:p>
        </w:tc>
        <w:tc>
          <w:tcPr>
            <w:tcW w:w="1679" w:type="dxa"/>
            <w:gridSpan w:val="2"/>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rPr>
              <w:t xml:space="preserve">     </w:t>
            </w:r>
            <w:r>
              <w:rPr>
                <w:rFonts w:hint="eastAsia" w:ascii="宋体" w:hAnsi="宋体" w:cs="宋体"/>
                <w:color w:val="000000"/>
                <w:sz w:val="20"/>
                <w:szCs w:val="20"/>
                <w:lang w:val="en-US" w:eastAsia="zh-CN"/>
              </w:rPr>
              <w:t>308.35</w:t>
            </w:r>
          </w:p>
        </w:tc>
        <w:tc>
          <w:tcPr>
            <w:tcW w:w="16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二、外交支出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rPr>
              <w:t>29</w:t>
            </w:r>
          </w:p>
        </w:tc>
        <w:tc>
          <w:tcPr>
            <w:tcW w:w="70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三、国防支出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rPr>
              <w:t>30</w:t>
            </w:r>
          </w:p>
        </w:tc>
        <w:tc>
          <w:tcPr>
            <w:tcW w:w="70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四、公共安全支出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rPr>
              <w:t>31</w:t>
            </w:r>
          </w:p>
        </w:tc>
        <w:tc>
          <w:tcPr>
            <w:tcW w:w="70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五、教育支出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rPr>
              <w:t>32</w:t>
            </w:r>
          </w:p>
        </w:tc>
        <w:tc>
          <w:tcPr>
            <w:tcW w:w="70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六、科学技术支出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rPr>
              <w:t>33</w:t>
            </w:r>
          </w:p>
        </w:tc>
        <w:tc>
          <w:tcPr>
            <w:tcW w:w="70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kern w:val="0"/>
                <w:sz w:val="20"/>
                <w:szCs w:val="20"/>
                <w:lang w:bidi="ar"/>
              </w:rPr>
              <w:t>七、文化体育与传媒支出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rPr>
              <w:t>34</w:t>
            </w:r>
          </w:p>
        </w:tc>
        <w:tc>
          <w:tcPr>
            <w:tcW w:w="70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8</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kern w:val="0"/>
                <w:sz w:val="20"/>
                <w:szCs w:val="20"/>
                <w:lang w:bidi="ar"/>
              </w:rPr>
              <w:t>八、社会保障和就业支出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sz w:val="20"/>
                <w:szCs w:val="20"/>
              </w:rPr>
              <w:t>35</w:t>
            </w:r>
          </w:p>
        </w:tc>
        <w:tc>
          <w:tcPr>
            <w:tcW w:w="70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27.51</w:t>
            </w:r>
          </w:p>
        </w:tc>
        <w:tc>
          <w:tcPr>
            <w:tcW w:w="1679" w:type="dxa"/>
            <w:gridSpan w:val="2"/>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27.51</w:t>
            </w:r>
          </w:p>
        </w:tc>
        <w:tc>
          <w:tcPr>
            <w:tcW w:w="16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9</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kern w:val="0"/>
                <w:sz w:val="20"/>
                <w:szCs w:val="20"/>
                <w:lang w:bidi="ar"/>
              </w:rPr>
              <w:t>九、医疗卫生与计划生育支出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36</w:t>
            </w:r>
          </w:p>
        </w:tc>
        <w:tc>
          <w:tcPr>
            <w:tcW w:w="70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9.99</w:t>
            </w:r>
          </w:p>
        </w:tc>
        <w:tc>
          <w:tcPr>
            <w:tcW w:w="1679" w:type="dxa"/>
            <w:gridSpan w:val="2"/>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9.99</w:t>
            </w:r>
          </w:p>
        </w:tc>
        <w:tc>
          <w:tcPr>
            <w:tcW w:w="16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kern w:val="0"/>
                <w:sz w:val="20"/>
                <w:szCs w:val="20"/>
                <w:lang w:bidi="ar"/>
              </w:rPr>
              <w:t>十、节能环保支出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37</w:t>
            </w:r>
          </w:p>
        </w:tc>
        <w:tc>
          <w:tcPr>
            <w:tcW w:w="70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kern w:val="0"/>
                <w:sz w:val="20"/>
                <w:szCs w:val="20"/>
                <w:lang w:bidi="ar"/>
              </w:rPr>
              <w:t>十一、城乡社区支出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38</w:t>
            </w:r>
          </w:p>
        </w:tc>
        <w:tc>
          <w:tcPr>
            <w:tcW w:w="70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12</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kern w:val="0"/>
                <w:sz w:val="20"/>
                <w:szCs w:val="20"/>
                <w:lang w:bidi="ar"/>
              </w:rPr>
              <w:t>十二、农林水支出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39</w:t>
            </w:r>
          </w:p>
        </w:tc>
        <w:tc>
          <w:tcPr>
            <w:tcW w:w="70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13</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kern w:val="0"/>
                <w:sz w:val="20"/>
                <w:szCs w:val="20"/>
                <w:lang w:bidi="ar"/>
              </w:rPr>
              <w:t>十三、交通运输支出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40</w:t>
            </w:r>
          </w:p>
        </w:tc>
        <w:tc>
          <w:tcPr>
            <w:tcW w:w="70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14</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kern w:val="0"/>
                <w:sz w:val="20"/>
                <w:szCs w:val="20"/>
                <w:lang w:bidi="ar"/>
              </w:rPr>
              <w:t>十四、资源勘探信息等支出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41</w:t>
            </w:r>
          </w:p>
        </w:tc>
        <w:tc>
          <w:tcPr>
            <w:tcW w:w="70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kern w:val="0"/>
                <w:sz w:val="20"/>
                <w:szCs w:val="20"/>
                <w:lang w:bidi="ar"/>
              </w:rPr>
              <w:t>十五、商业服务业等支出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42</w:t>
            </w:r>
          </w:p>
        </w:tc>
        <w:tc>
          <w:tcPr>
            <w:tcW w:w="70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16</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kern w:val="0"/>
                <w:sz w:val="20"/>
                <w:szCs w:val="20"/>
                <w:lang w:bidi="ar"/>
              </w:rPr>
              <w:t>十六、金融支出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43</w:t>
            </w:r>
          </w:p>
        </w:tc>
        <w:tc>
          <w:tcPr>
            <w:tcW w:w="70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kern w:val="0"/>
                <w:sz w:val="20"/>
                <w:szCs w:val="20"/>
                <w:lang w:bidi="ar"/>
              </w:rPr>
              <w:t>十七、援助其他地区支出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44</w:t>
            </w:r>
          </w:p>
        </w:tc>
        <w:tc>
          <w:tcPr>
            <w:tcW w:w="70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18</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kern w:val="0"/>
                <w:sz w:val="20"/>
                <w:szCs w:val="20"/>
                <w:lang w:bidi="ar"/>
              </w:rPr>
              <w:t>十八、国土海洋气象等支出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45</w:t>
            </w:r>
          </w:p>
        </w:tc>
        <w:tc>
          <w:tcPr>
            <w:tcW w:w="70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19</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kern w:val="0"/>
                <w:sz w:val="20"/>
                <w:szCs w:val="20"/>
                <w:lang w:bidi="ar"/>
              </w:rPr>
              <w:t>十九、住房保障支出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46</w:t>
            </w:r>
          </w:p>
        </w:tc>
        <w:tc>
          <w:tcPr>
            <w:tcW w:w="70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18.80</w:t>
            </w:r>
          </w:p>
        </w:tc>
        <w:tc>
          <w:tcPr>
            <w:tcW w:w="1679" w:type="dxa"/>
            <w:gridSpan w:val="2"/>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18.80</w:t>
            </w:r>
          </w:p>
        </w:tc>
        <w:tc>
          <w:tcPr>
            <w:tcW w:w="16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kern w:val="0"/>
                <w:sz w:val="20"/>
                <w:szCs w:val="20"/>
                <w:lang w:bidi="ar"/>
              </w:rPr>
              <w:t>二十、粮油物资储备支出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47</w:t>
            </w:r>
          </w:p>
        </w:tc>
        <w:tc>
          <w:tcPr>
            <w:tcW w:w="70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kern w:val="0"/>
                <w:sz w:val="20"/>
                <w:szCs w:val="20"/>
                <w:lang w:bidi="ar"/>
              </w:rPr>
              <w:t>二十一、其他支出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48</w:t>
            </w:r>
          </w:p>
        </w:tc>
        <w:tc>
          <w:tcPr>
            <w:tcW w:w="708"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本年收入合计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rPr>
              <w:t>22</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366.59</w:t>
            </w:r>
          </w:p>
        </w:tc>
        <w:tc>
          <w:tcPr>
            <w:tcW w:w="3400"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本年支出合计</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rPr>
              <w:t>49</w:t>
            </w:r>
          </w:p>
        </w:tc>
        <w:tc>
          <w:tcPr>
            <w:tcW w:w="708"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364.65</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364.65</w:t>
            </w:r>
          </w:p>
        </w:tc>
        <w:tc>
          <w:tcPr>
            <w:tcW w:w="1680" w:type="dxa"/>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b/>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年初财政拨款结转和结余</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rPr>
              <w:t>23</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c>
          <w:tcPr>
            <w:tcW w:w="3400"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年末财政拨款结转和结余</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rPr>
              <w:t>50</w:t>
            </w:r>
          </w:p>
        </w:tc>
        <w:tc>
          <w:tcPr>
            <w:tcW w:w="708"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pPr>
              <w:jc w:val="both"/>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1.94</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1.94</w:t>
            </w:r>
          </w:p>
        </w:tc>
        <w:tc>
          <w:tcPr>
            <w:tcW w:w="1680" w:type="dxa"/>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rPr>
              <w:t>24</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c>
          <w:tcPr>
            <w:tcW w:w="3400"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jc w:val="left"/>
              <w:rPr>
                <w:rFonts w:hint="eastAsia" w:ascii="宋体" w:hAnsi="宋体" w:cs="宋体"/>
                <w:color w:val="000000"/>
                <w:sz w:val="20"/>
                <w:szCs w:val="20"/>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rPr>
              <w:t>51</w:t>
            </w:r>
          </w:p>
        </w:tc>
        <w:tc>
          <w:tcPr>
            <w:tcW w:w="708"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680" w:type="dxa"/>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nil"/>
              <w:right w:val="nil"/>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rPr>
              <w:t>25</w:t>
            </w:r>
          </w:p>
        </w:tc>
        <w:tc>
          <w:tcPr>
            <w:tcW w:w="1210"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0"/>
                <w:szCs w:val="20"/>
              </w:rPr>
            </w:pPr>
          </w:p>
        </w:tc>
        <w:tc>
          <w:tcPr>
            <w:tcW w:w="3400" w:type="dxa"/>
            <w:tcBorders>
              <w:top w:val="single" w:color="000000" w:sz="4" w:space="0"/>
              <w:left w:val="single" w:color="000000" w:sz="4" w:space="0"/>
              <w:bottom w:val="nil"/>
              <w:right w:val="nil"/>
            </w:tcBorders>
            <w:shd w:val="clear" w:color="auto" w:fill="auto"/>
            <w:noWrap w:val="0"/>
            <w:tcMar>
              <w:top w:w="15" w:type="dxa"/>
              <w:left w:w="15" w:type="dxa"/>
              <w:right w:w="15" w:type="dxa"/>
            </w:tcMar>
            <w:vAlign w:val="center"/>
          </w:tcPr>
          <w:p>
            <w:pPr>
              <w:jc w:val="left"/>
              <w:rPr>
                <w:rFonts w:hint="eastAsia" w:ascii="宋体" w:hAnsi="宋体" w:cs="宋体"/>
                <w:color w:val="000000"/>
                <w:sz w:val="20"/>
                <w:szCs w:val="20"/>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rPr>
              <w:t>52</w:t>
            </w:r>
          </w:p>
        </w:tc>
        <w:tc>
          <w:tcPr>
            <w:tcW w:w="708" w:type="dxa"/>
            <w:tcBorders>
              <w:top w:val="single" w:color="000000" w:sz="4" w:space="0"/>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680" w:type="dxa"/>
            <w:tcBorders>
              <w:top w:val="single" w:color="000000" w:sz="4" w:space="0"/>
              <w:left w:val="nil"/>
              <w:bottom w:val="nil"/>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nil"/>
              <w:right w:val="nil"/>
            </w:tcBorders>
            <w:shd w:val="clear" w:color="auto" w:fill="auto"/>
            <w:noWrap w:val="0"/>
            <w:tcMar>
              <w:top w:w="15" w:type="dxa"/>
              <w:left w:w="15" w:type="dxa"/>
              <w:right w:w="15" w:type="dxa"/>
            </w:tcMar>
            <w:vAlign w:val="center"/>
          </w:tcPr>
          <w:p>
            <w:pPr>
              <w:jc w:val="center"/>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rPr>
              <w:t>26</w:t>
            </w:r>
          </w:p>
        </w:tc>
        <w:tc>
          <w:tcPr>
            <w:tcW w:w="1210"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cs="宋体"/>
                <w:color w:val="000000"/>
                <w:sz w:val="20"/>
                <w:szCs w:val="20"/>
              </w:rPr>
            </w:pPr>
          </w:p>
        </w:tc>
        <w:tc>
          <w:tcPr>
            <w:tcW w:w="3400" w:type="dxa"/>
            <w:tcBorders>
              <w:top w:val="single" w:color="000000" w:sz="4" w:space="0"/>
              <w:left w:val="single" w:color="000000" w:sz="4" w:space="0"/>
              <w:bottom w:val="nil"/>
              <w:right w:val="nil"/>
            </w:tcBorders>
            <w:shd w:val="clear" w:color="auto" w:fill="auto"/>
            <w:noWrap w:val="0"/>
            <w:tcMar>
              <w:top w:w="15" w:type="dxa"/>
              <w:left w:w="15" w:type="dxa"/>
              <w:right w:w="15" w:type="dxa"/>
            </w:tcMar>
            <w:vAlign w:val="center"/>
          </w:tcPr>
          <w:p>
            <w:pPr>
              <w:jc w:val="left"/>
              <w:rPr>
                <w:rFonts w:hint="eastAsia" w:ascii="宋体" w:hAnsi="宋体" w:cs="宋体"/>
                <w:color w:val="000000"/>
                <w:sz w:val="20"/>
                <w:szCs w:val="20"/>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rPr>
              <w:t>53</w:t>
            </w:r>
          </w:p>
        </w:tc>
        <w:tc>
          <w:tcPr>
            <w:tcW w:w="708" w:type="dxa"/>
            <w:tcBorders>
              <w:top w:val="single" w:color="000000" w:sz="4" w:space="0"/>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cs="宋体"/>
                <w:color w:val="000000"/>
                <w:sz w:val="20"/>
                <w:szCs w:val="20"/>
              </w:rPr>
            </w:pPr>
          </w:p>
        </w:tc>
        <w:tc>
          <w:tcPr>
            <w:tcW w:w="1680" w:type="dxa"/>
            <w:tcBorders>
              <w:top w:val="single" w:color="000000" w:sz="4" w:space="0"/>
              <w:left w:val="nil"/>
              <w:bottom w:val="nil"/>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8"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rPr>
              <w:t>27</w:t>
            </w:r>
          </w:p>
        </w:tc>
        <w:tc>
          <w:tcPr>
            <w:tcW w:w="1210"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366.59</w:t>
            </w:r>
          </w:p>
        </w:tc>
        <w:tc>
          <w:tcPr>
            <w:tcW w:w="3400" w:type="dxa"/>
            <w:tcBorders>
              <w:top w:val="single" w:color="000000" w:sz="4" w:space="0"/>
              <w:left w:val="single" w:color="000000" w:sz="4" w:space="0"/>
              <w:bottom w:val="single" w:color="000000" w:sz="8"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rPr>
              <w:t>54</w:t>
            </w:r>
          </w:p>
        </w:tc>
        <w:tc>
          <w:tcPr>
            <w:tcW w:w="708" w:type="dxa"/>
            <w:tcBorders>
              <w:top w:val="single" w:color="000000" w:sz="4" w:space="0"/>
              <w:left w:val="nil"/>
              <w:bottom w:val="nil"/>
              <w:right w:val="nil"/>
            </w:tcBorders>
            <w:shd w:val="clear" w:color="auto" w:fill="FFFFFF"/>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366.59</w:t>
            </w:r>
          </w:p>
        </w:tc>
        <w:tc>
          <w:tcPr>
            <w:tcW w:w="1679" w:type="dxa"/>
            <w:gridSpan w:val="2"/>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366.59</w:t>
            </w:r>
          </w:p>
        </w:tc>
        <w:tc>
          <w:tcPr>
            <w:tcW w:w="1680" w:type="dxa"/>
            <w:tcBorders>
              <w:top w:val="single" w:color="000000" w:sz="4" w:space="0"/>
              <w:left w:val="nil"/>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b/>
                <w:color w:val="000000"/>
                <w:sz w:val="20"/>
                <w:szCs w:val="20"/>
              </w:rPr>
            </w:pPr>
          </w:p>
        </w:tc>
      </w:tr>
      <w:tr>
        <w:tblPrEx>
          <w:tblCellMar>
            <w:top w:w="0" w:type="dxa"/>
            <w:left w:w="0" w:type="dxa"/>
            <w:bottom w:w="0" w:type="dxa"/>
            <w:right w:w="0" w:type="dxa"/>
          </w:tblCellMar>
        </w:tblPrEx>
        <w:trPr>
          <w:trHeight w:val="585" w:hRule="atLeast"/>
        </w:trPr>
        <w:tc>
          <w:tcPr>
            <w:tcW w:w="13988" w:type="dxa"/>
            <w:gridSpan w:val="9"/>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注：本表反映部门本年度一般公共预算财政拨款和政府性基金预算财政拨款的总收支和年末结转结余情况。本表金额转换为万元时，因四舍五入可能存在尾差。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0" w:type="auto"/>
        <w:tblInd w:w="0" w:type="dxa"/>
        <w:tblLayout w:type="fixed"/>
        <w:tblCellMar>
          <w:top w:w="0" w:type="dxa"/>
          <w:left w:w="0" w:type="dxa"/>
          <w:bottom w:w="0" w:type="dxa"/>
          <w:right w:w="0" w:type="dxa"/>
        </w:tblCellMar>
      </w:tblPr>
      <w:tblGrid>
        <w:gridCol w:w="726"/>
        <w:gridCol w:w="688"/>
        <w:gridCol w:w="2225"/>
        <w:gridCol w:w="3449"/>
        <w:gridCol w:w="3449"/>
        <w:gridCol w:w="3451"/>
      </w:tblGrid>
      <w:tr>
        <w:tblPrEx>
          <w:tblCellMar>
            <w:top w:w="0" w:type="dxa"/>
            <w:left w:w="0" w:type="dxa"/>
            <w:bottom w:w="0" w:type="dxa"/>
            <w:right w:w="0" w:type="dxa"/>
          </w:tblCellMar>
        </w:tblPrEx>
        <w:trPr>
          <w:trHeight w:val="600" w:hRule="atLeast"/>
        </w:trPr>
        <w:tc>
          <w:tcPr>
            <w:tcW w:w="13988" w:type="dxa"/>
            <w:gridSpan w:val="6"/>
            <w:tcBorders>
              <w:top w:val="nil"/>
              <w:left w:val="nil"/>
              <w:bottom w:val="nil"/>
              <w:right w:val="nil"/>
            </w:tcBorders>
            <w:shd w:val="clear" w:color="auto" w:fill="FFFFFF"/>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一般公共预算财政拨款支出决算表</w:t>
            </w:r>
          </w:p>
        </w:tc>
      </w:tr>
      <w:tr>
        <w:tblPrEx>
          <w:tblCellMar>
            <w:top w:w="0" w:type="dxa"/>
            <w:left w:w="0" w:type="dxa"/>
            <w:bottom w:w="0" w:type="dxa"/>
            <w:right w:w="0" w:type="dxa"/>
          </w:tblCellMar>
        </w:tblPrEx>
        <w:trPr>
          <w:trHeight w:val="222" w:hRule="atLeast"/>
        </w:trPr>
        <w:tc>
          <w:tcPr>
            <w:tcW w:w="726"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688"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2225"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344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44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451" w:type="dxa"/>
            <w:tcBorders>
              <w:top w:val="nil"/>
              <w:left w:val="nil"/>
              <w:bottom w:val="nil"/>
              <w:right w:val="nil"/>
            </w:tcBorders>
            <w:shd w:val="clear" w:color="auto"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w:t>
            </w:r>
            <w:r>
              <w:rPr>
                <w:rStyle w:val="6"/>
                <w:rFonts w:hint="default"/>
                <w:lang w:bidi="ar"/>
              </w:rPr>
              <w:t>5表</w:t>
            </w:r>
          </w:p>
        </w:tc>
      </w:tr>
      <w:tr>
        <w:tblPrEx>
          <w:tblCellMar>
            <w:top w:w="0" w:type="dxa"/>
            <w:left w:w="0" w:type="dxa"/>
            <w:bottom w:w="0" w:type="dxa"/>
            <w:right w:w="0" w:type="dxa"/>
          </w:tblCellMar>
        </w:tblPrEx>
        <w:trPr>
          <w:trHeight w:val="300" w:hRule="atLeast"/>
        </w:trPr>
        <w:tc>
          <w:tcPr>
            <w:tcW w:w="3639" w:type="dxa"/>
            <w:gridSpan w:val="3"/>
            <w:tcBorders>
              <w:top w:val="nil"/>
              <w:left w:val="nil"/>
              <w:bottom w:val="nil"/>
              <w:right w:val="nil"/>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r>
              <w:rPr>
                <w:rFonts w:hint="eastAsia" w:ascii="宋体" w:hAnsi="宋体" w:cs="宋体"/>
                <w:color w:val="000000"/>
                <w:sz w:val="20"/>
                <w:szCs w:val="20"/>
              </w:rPr>
              <w:t>义马市统计局</w:t>
            </w:r>
          </w:p>
        </w:tc>
        <w:tc>
          <w:tcPr>
            <w:tcW w:w="344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44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451" w:type="dxa"/>
            <w:tcBorders>
              <w:top w:val="nil"/>
              <w:left w:val="nil"/>
              <w:bottom w:val="nil"/>
              <w:right w:val="nil"/>
            </w:tcBorders>
            <w:shd w:val="clear" w:color="auto"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05" w:hRule="atLeast"/>
        </w:trPr>
        <w:tc>
          <w:tcPr>
            <w:tcW w:w="3639" w:type="dxa"/>
            <w:gridSpan w:val="3"/>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项 </w:t>
            </w:r>
            <w:r>
              <w:rPr>
                <w:rStyle w:val="7"/>
                <w:rFonts w:hint="default"/>
                <w:sz w:val="20"/>
                <w:szCs w:val="20"/>
                <w:lang w:bidi="ar"/>
              </w:rPr>
              <w:t xml:space="preserve">   </w:t>
            </w:r>
            <w:r>
              <w:rPr>
                <w:rStyle w:val="8"/>
                <w:rFonts w:hint="default"/>
                <w:sz w:val="20"/>
                <w:szCs w:val="20"/>
                <w:lang w:bidi="ar"/>
              </w:rPr>
              <w:t>目</w:t>
            </w:r>
          </w:p>
        </w:tc>
        <w:tc>
          <w:tcPr>
            <w:tcW w:w="10349" w:type="dxa"/>
            <w:gridSpan w:val="3"/>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r>
      <w:tr>
        <w:tblPrEx>
          <w:tblCellMar>
            <w:top w:w="0" w:type="dxa"/>
            <w:left w:w="0" w:type="dxa"/>
            <w:bottom w:w="0" w:type="dxa"/>
            <w:right w:w="0" w:type="dxa"/>
          </w:tblCellMar>
        </w:tblPrEx>
        <w:trPr>
          <w:trHeight w:val="495" w:hRule="atLeast"/>
        </w:trPr>
        <w:tc>
          <w:tcPr>
            <w:tcW w:w="1414" w:type="dxa"/>
            <w:gridSpan w:val="2"/>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22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3449"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3449"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3451" w:type="dxa"/>
            <w:vMerge w:val="restart"/>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r>
      <w:tr>
        <w:tblPrEx>
          <w:tblCellMar>
            <w:top w:w="0" w:type="dxa"/>
            <w:left w:w="0" w:type="dxa"/>
            <w:bottom w:w="0" w:type="dxa"/>
            <w:right w:w="0" w:type="dxa"/>
          </w:tblCellMar>
        </w:tblPrEx>
        <w:trPr>
          <w:trHeight w:val="36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2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451" w:type="dxa"/>
            <w:vMerge w:val="continue"/>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2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451" w:type="dxa"/>
            <w:vMerge w:val="continue"/>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3639"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0" w:type="dxa"/>
            <w:bottom w:w="0" w:type="dxa"/>
            <w:right w:w="0" w:type="dxa"/>
          </w:tblCellMar>
        </w:tblPrEx>
        <w:trPr>
          <w:trHeight w:val="450" w:hRule="atLeast"/>
        </w:trPr>
        <w:tc>
          <w:tcPr>
            <w:tcW w:w="3639"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b/>
                <w:sz w:val="20"/>
                <w:szCs w:val="20"/>
                <w:lang w:val="en-US" w:eastAsia="zh-CN"/>
              </w:rPr>
              <w:t>364.65</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b/>
                <w:sz w:val="20"/>
                <w:szCs w:val="20"/>
                <w:lang w:val="en-US" w:eastAsia="zh-CN"/>
              </w:rPr>
              <w:t>364.65</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201</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一般公共服务支出</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308.35</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308.35</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20105</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统计信息事务</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sz w:val="20"/>
                <w:szCs w:val="20"/>
                <w:lang w:val="en-US" w:eastAsia="zh-CN"/>
              </w:rPr>
              <w:t>308.35</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sz w:val="20"/>
                <w:szCs w:val="20"/>
                <w:lang w:val="en-US" w:eastAsia="zh-CN"/>
              </w:rPr>
              <w:t>308.35</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2010501</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行政运行</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sz w:val="20"/>
                <w:szCs w:val="20"/>
                <w:lang w:val="en-US" w:eastAsia="zh-CN"/>
              </w:rPr>
              <w:t>201.74</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sz w:val="20"/>
                <w:szCs w:val="20"/>
                <w:lang w:val="en-US" w:eastAsia="zh-CN"/>
              </w:rPr>
              <w:t>201.74</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2010599</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其他统计信息事务支出</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sz w:val="20"/>
                <w:szCs w:val="20"/>
                <w:lang w:val="en-US" w:eastAsia="zh-CN"/>
              </w:rPr>
              <w:t>106.60</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sz w:val="20"/>
                <w:szCs w:val="20"/>
                <w:lang w:val="en-US" w:eastAsia="zh-CN"/>
              </w:rPr>
              <w:t>106.60</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208</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社会保障和就业支出</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sz w:val="20"/>
                <w:szCs w:val="20"/>
                <w:lang w:val="en-US" w:eastAsia="zh-CN"/>
              </w:rPr>
              <w:t>27.51</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sz w:val="20"/>
                <w:szCs w:val="20"/>
                <w:lang w:val="en-US" w:eastAsia="zh-CN"/>
              </w:rPr>
              <w:t>27.51</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20805</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行政事业单位离退休</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sz w:val="20"/>
                <w:szCs w:val="20"/>
                <w:lang w:val="en-US" w:eastAsia="zh-CN"/>
              </w:rPr>
              <w:t>27.51</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sz w:val="20"/>
                <w:szCs w:val="20"/>
                <w:lang w:val="en-US" w:eastAsia="zh-CN"/>
              </w:rPr>
              <w:t>27.51</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2080501</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归口管理的行政单位离退休</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sz w:val="20"/>
                <w:szCs w:val="20"/>
                <w:lang w:val="en-US" w:eastAsia="zh-CN"/>
              </w:rPr>
              <w:t>5.40</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sz w:val="20"/>
                <w:szCs w:val="20"/>
                <w:lang w:val="en-US" w:eastAsia="zh-CN"/>
              </w:rPr>
              <w:t>5.40</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2080505</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机关事业单位基本养老保险缴费支出</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sz w:val="20"/>
                <w:szCs w:val="20"/>
                <w:lang w:val="en-US" w:eastAsia="zh-CN"/>
              </w:rPr>
              <w:t>22.11</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sz w:val="20"/>
                <w:szCs w:val="20"/>
                <w:lang w:val="en-US" w:eastAsia="zh-CN"/>
              </w:rPr>
              <w:t>22.11</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210</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医疗卫生与计划生育支出</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sz w:val="20"/>
                <w:szCs w:val="20"/>
                <w:lang w:val="en-US" w:eastAsia="zh-CN"/>
              </w:rPr>
              <w:t>9.99</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sz w:val="20"/>
                <w:szCs w:val="20"/>
                <w:lang w:val="en-US" w:eastAsia="zh-CN"/>
              </w:rPr>
              <w:t>9.99</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21011</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行政事业单位医疗</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sz w:val="20"/>
                <w:szCs w:val="20"/>
                <w:lang w:val="en-US" w:eastAsia="zh-CN"/>
              </w:rPr>
              <w:t>9.99</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sz w:val="20"/>
                <w:szCs w:val="20"/>
                <w:lang w:val="en-US" w:eastAsia="zh-CN"/>
              </w:rPr>
              <w:t>9.99</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2101101</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行政单位医疗</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sz w:val="20"/>
                <w:szCs w:val="20"/>
                <w:lang w:val="en-US" w:eastAsia="zh-CN"/>
              </w:rPr>
              <w:t>9.99</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sz w:val="20"/>
                <w:szCs w:val="20"/>
                <w:lang w:val="en-US" w:eastAsia="zh-CN"/>
              </w:rPr>
              <w:t>9.99</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221</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住房保障支出</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sz w:val="20"/>
                <w:szCs w:val="20"/>
                <w:lang w:val="en-US" w:eastAsia="zh-CN"/>
              </w:rPr>
              <w:t>18.80</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sz w:val="20"/>
                <w:szCs w:val="20"/>
                <w:lang w:val="en-US" w:eastAsia="zh-CN"/>
              </w:rPr>
              <w:t>18.80</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22102</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住房改革支出</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sz w:val="20"/>
                <w:szCs w:val="20"/>
                <w:lang w:val="en-US" w:eastAsia="zh-CN"/>
              </w:rPr>
              <w:t>18.80</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sz w:val="20"/>
                <w:szCs w:val="20"/>
                <w:lang w:val="en-US" w:eastAsia="zh-CN"/>
              </w:rPr>
              <w:t>18.80</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2210201</w:t>
            </w:r>
          </w:p>
        </w:tc>
        <w:tc>
          <w:tcPr>
            <w:tcW w:w="222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sz w:val="20"/>
                <w:szCs w:val="20"/>
              </w:rPr>
              <w:t>住房公积金</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sz w:val="20"/>
                <w:szCs w:val="20"/>
                <w:lang w:val="en-US" w:eastAsia="zh-CN"/>
              </w:rPr>
              <w:t>18.80</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sz w:val="20"/>
                <w:szCs w:val="20"/>
                <w:lang w:val="en-US" w:eastAsia="zh-CN"/>
              </w:rPr>
              <w:t>18.80</w:t>
            </w:r>
          </w:p>
        </w:tc>
        <w:tc>
          <w:tcPr>
            <w:tcW w:w="34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645" w:hRule="atLeast"/>
        </w:trPr>
        <w:tc>
          <w:tcPr>
            <w:tcW w:w="13988" w:type="dxa"/>
            <w:gridSpan w:val="6"/>
            <w:tcBorders>
              <w:top w:val="nil"/>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注：本表反映部门本年度一般公共预算财政拨款支出情况。本表金额转换为万元时，因四舍五入可能存在尾差。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0" w:type="auto"/>
        <w:tblInd w:w="0" w:type="dxa"/>
        <w:tblLayout w:type="fixed"/>
        <w:tblCellMar>
          <w:top w:w="0" w:type="dxa"/>
          <w:left w:w="0" w:type="dxa"/>
          <w:bottom w:w="0" w:type="dxa"/>
          <w:right w:w="0" w:type="dxa"/>
        </w:tblCellMar>
      </w:tblPr>
      <w:tblGrid>
        <w:gridCol w:w="870"/>
        <w:gridCol w:w="2923"/>
        <w:gridCol w:w="938"/>
        <w:gridCol w:w="870"/>
        <w:gridCol w:w="2066"/>
        <w:gridCol w:w="938"/>
        <w:gridCol w:w="870"/>
        <w:gridCol w:w="3174"/>
        <w:gridCol w:w="1339"/>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一般公共预算财政拨款基本支出决算表</w:t>
            </w:r>
          </w:p>
        </w:tc>
      </w:tr>
      <w:tr>
        <w:tblPrEx>
          <w:tblCellMar>
            <w:top w:w="0" w:type="dxa"/>
            <w:left w:w="0" w:type="dxa"/>
            <w:bottom w:w="0" w:type="dxa"/>
            <w:right w:w="0" w:type="dxa"/>
          </w:tblCellMar>
        </w:tblPrEx>
        <w:trPr>
          <w:trHeight w:val="405" w:hRule="atLeast"/>
        </w:trPr>
        <w:tc>
          <w:tcPr>
            <w:tcW w:w="870"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2923"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938"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206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174"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339" w:type="dxa"/>
            <w:tcBorders>
              <w:top w:val="nil"/>
              <w:left w:val="nil"/>
              <w:bottom w:val="nil"/>
              <w:right w:val="nil"/>
            </w:tcBorders>
            <w:shd w:val="clear" w:color="auto"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公开06表</w:t>
            </w:r>
          </w:p>
        </w:tc>
      </w:tr>
      <w:tr>
        <w:tblPrEx>
          <w:tblCellMar>
            <w:top w:w="0" w:type="dxa"/>
            <w:left w:w="0" w:type="dxa"/>
            <w:bottom w:w="0" w:type="dxa"/>
            <w:right w:w="0" w:type="dxa"/>
          </w:tblCellMar>
        </w:tblPrEx>
        <w:trPr>
          <w:trHeight w:val="300" w:hRule="atLeast"/>
        </w:trPr>
        <w:tc>
          <w:tcPr>
            <w:tcW w:w="3793" w:type="dxa"/>
            <w:gridSpan w:val="2"/>
            <w:tcBorders>
              <w:top w:val="nil"/>
              <w:left w:val="nil"/>
              <w:bottom w:val="nil"/>
              <w:right w:val="nil"/>
            </w:tcBorders>
            <w:noWrap w:val="0"/>
            <w:tcMar>
              <w:top w:w="15" w:type="dxa"/>
              <w:left w:w="15" w:type="dxa"/>
              <w:right w:w="15" w:type="dxa"/>
            </w:tcMar>
            <w:vAlign w:val="center"/>
          </w:tcPr>
          <w:p>
            <w:pPr>
              <w:widowControl/>
              <w:jc w:val="left"/>
              <w:textAlignment w:val="center"/>
              <w:rPr>
                <w:rFonts w:hint="eastAsia" w:ascii="Arial" w:hAnsi="Arial" w:cs="Arial"/>
                <w:color w:val="000000"/>
                <w:sz w:val="20"/>
                <w:szCs w:val="20"/>
              </w:rPr>
            </w:pPr>
            <w:r>
              <w:rPr>
                <w:rFonts w:ascii="Arial" w:hAnsi="Arial" w:cs="Arial"/>
                <w:color w:val="000000"/>
                <w:kern w:val="0"/>
                <w:sz w:val="20"/>
                <w:szCs w:val="20"/>
                <w:lang w:bidi="ar"/>
              </w:rPr>
              <w:t>部门：</w:t>
            </w:r>
            <w:r>
              <w:rPr>
                <w:rFonts w:hint="eastAsia" w:ascii="Arial" w:hAnsi="Arial" w:cs="Arial"/>
                <w:color w:val="000000"/>
                <w:sz w:val="20"/>
                <w:szCs w:val="20"/>
              </w:rPr>
              <w:t>义马市统计局</w:t>
            </w:r>
          </w:p>
        </w:tc>
        <w:tc>
          <w:tcPr>
            <w:tcW w:w="938" w:type="dxa"/>
            <w:tcBorders>
              <w:top w:val="nil"/>
              <w:left w:val="nil"/>
              <w:bottom w:val="nil"/>
              <w:right w:val="nil"/>
            </w:tcBorders>
            <w:noWrap w:val="0"/>
            <w:tcMar>
              <w:top w:w="15" w:type="dxa"/>
              <w:left w:w="15" w:type="dxa"/>
              <w:right w:w="15" w:type="dxa"/>
            </w:tcMar>
            <w:vAlign w:val="center"/>
          </w:tcPr>
          <w:p>
            <w:pPr>
              <w:rPr>
                <w:rFonts w:ascii="Arial" w:hAnsi="Arial" w:cs="Arial"/>
                <w:color w:val="000000"/>
                <w:sz w:val="20"/>
                <w:szCs w:val="20"/>
              </w:rPr>
            </w:pPr>
          </w:p>
        </w:tc>
        <w:tc>
          <w:tcPr>
            <w:tcW w:w="870" w:type="dxa"/>
            <w:tcBorders>
              <w:top w:val="nil"/>
              <w:left w:val="nil"/>
              <w:bottom w:val="nil"/>
              <w:right w:val="nil"/>
            </w:tcBorders>
            <w:noWrap w:val="0"/>
            <w:tcMar>
              <w:top w:w="15" w:type="dxa"/>
              <w:left w:w="15" w:type="dxa"/>
              <w:right w:w="15" w:type="dxa"/>
            </w:tcMar>
            <w:vAlign w:val="center"/>
          </w:tcPr>
          <w:p>
            <w:pPr>
              <w:rPr>
                <w:rFonts w:ascii="Arial" w:hAnsi="Arial" w:cs="Arial"/>
                <w:color w:val="000000"/>
                <w:sz w:val="20"/>
                <w:szCs w:val="20"/>
              </w:rPr>
            </w:pPr>
          </w:p>
        </w:tc>
        <w:tc>
          <w:tcPr>
            <w:tcW w:w="2066" w:type="dxa"/>
            <w:tcBorders>
              <w:top w:val="nil"/>
              <w:left w:val="nil"/>
              <w:bottom w:val="nil"/>
              <w:right w:val="nil"/>
            </w:tcBorders>
            <w:noWrap w:val="0"/>
            <w:tcMar>
              <w:top w:w="15" w:type="dxa"/>
              <w:left w:w="15" w:type="dxa"/>
              <w:right w:w="15" w:type="dxa"/>
            </w:tcMar>
            <w:vAlign w:val="center"/>
          </w:tcPr>
          <w:p>
            <w:pPr>
              <w:rPr>
                <w:rFonts w:ascii="Arial" w:hAnsi="Arial" w:cs="Arial"/>
                <w:color w:val="000000"/>
                <w:sz w:val="20"/>
                <w:szCs w:val="20"/>
              </w:rPr>
            </w:pPr>
          </w:p>
        </w:tc>
        <w:tc>
          <w:tcPr>
            <w:tcW w:w="938" w:type="dxa"/>
            <w:tcBorders>
              <w:top w:val="nil"/>
              <w:left w:val="nil"/>
              <w:bottom w:val="nil"/>
              <w:right w:val="nil"/>
            </w:tcBorders>
            <w:noWrap w:val="0"/>
            <w:tcMar>
              <w:top w:w="15" w:type="dxa"/>
              <w:left w:w="15" w:type="dxa"/>
              <w:right w:w="15" w:type="dxa"/>
            </w:tcMar>
            <w:vAlign w:val="center"/>
          </w:tcPr>
          <w:p>
            <w:pPr>
              <w:rPr>
                <w:rFonts w:ascii="Arial" w:hAnsi="Arial" w:cs="Arial"/>
                <w:color w:val="000000"/>
                <w:sz w:val="20"/>
                <w:szCs w:val="20"/>
              </w:rPr>
            </w:pPr>
          </w:p>
        </w:tc>
        <w:tc>
          <w:tcPr>
            <w:tcW w:w="870" w:type="dxa"/>
            <w:tcBorders>
              <w:top w:val="nil"/>
              <w:left w:val="nil"/>
              <w:bottom w:val="nil"/>
              <w:right w:val="nil"/>
            </w:tcBorders>
            <w:noWrap w:val="0"/>
            <w:tcMar>
              <w:top w:w="15" w:type="dxa"/>
              <w:left w:w="15" w:type="dxa"/>
              <w:right w:w="15" w:type="dxa"/>
            </w:tcMar>
            <w:vAlign w:val="center"/>
          </w:tcPr>
          <w:p>
            <w:pPr>
              <w:rPr>
                <w:rFonts w:ascii="Arial" w:hAnsi="Arial" w:cs="Arial"/>
                <w:color w:val="000000"/>
                <w:sz w:val="20"/>
                <w:szCs w:val="20"/>
              </w:rPr>
            </w:pPr>
          </w:p>
        </w:tc>
        <w:tc>
          <w:tcPr>
            <w:tcW w:w="3174" w:type="dxa"/>
            <w:tcBorders>
              <w:top w:val="nil"/>
              <w:left w:val="nil"/>
              <w:bottom w:val="nil"/>
              <w:right w:val="nil"/>
            </w:tcBorders>
            <w:noWrap w:val="0"/>
            <w:tcMar>
              <w:top w:w="15" w:type="dxa"/>
              <w:left w:w="15" w:type="dxa"/>
              <w:right w:w="15" w:type="dxa"/>
            </w:tcMar>
            <w:vAlign w:val="center"/>
          </w:tcPr>
          <w:p>
            <w:pPr>
              <w:rPr>
                <w:rFonts w:ascii="Arial" w:hAnsi="Arial" w:cs="Arial"/>
                <w:color w:val="000000"/>
                <w:sz w:val="20"/>
                <w:szCs w:val="20"/>
              </w:rPr>
            </w:pPr>
          </w:p>
        </w:tc>
        <w:tc>
          <w:tcPr>
            <w:tcW w:w="1339" w:type="dxa"/>
            <w:tcBorders>
              <w:top w:val="nil"/>
              <w:left w:val="nil"/>
              <w:bottom w:val="nil"/>
              <w:right w:val="nil"/>
            </w:tcBorders>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615" w:hRule="atLeast"/>
        </w:trPr>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2923"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93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2066"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93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3174"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339" w:type="dxa"/>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工资福利支出</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230.21</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商品和服务支出</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125.93</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w:t>
            </w:r>
          </w:p>
        </w:tc>
        <w:tc>
          <w:tcPr>
            <w:tcW w:w="3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债务利息及费用支出</w:t>
            </w:r>
          </w:p>
        </w:tc>
        <w:tc>
          <w:tcPr>
            <w:tcW w:w="133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30101</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基本工资</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146.82</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30201</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办公费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42.47</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30701</w:t>
            </w:r>
          </w:p>
        </w:tc>
        <w:tc>
          <w:tcPr>
            <w:tcW w:w="3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国内债务付息</w:t>
            </w:r>
          </w:p>
        </w:tc>
        <w:tc>
          <w:tcPr>
            <w:tcW w:w="133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30102</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津贴补贴</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9.22</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30202</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印刷费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3.26</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30702</w:t>
            </w:r>
          </w:p>
        </w:tc>
        <w:tc>
          <w:tcPr>
            <w:tcW w:w="3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国外债务付息</w:t>
            </w:r>
          </w:p>
        </w:tc>
        <w:tc>
          <w:tcPr>
            <w:tcW w:w="133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30103</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奖金</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21.25</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30203</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咨询费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w:t>
            </w:r>
          </w:p>
        </w:tc>
        <w:tc>
          <w:tcPr>
            <w:tcW w:w="3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资本性支出</w:t>
            </w:r>
          </w:p>
        </w:tc>
        <w:tc>
          <w:tcPr>
            <w:tcW w:w="133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2.34</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30106</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伙食补助费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30204</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手续费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31001</w:t>
            </w:r>
          </w:p>
        </w:tc>
        <w:tc>
          <w:tcPr>
            <w:tcW w:w="3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房屋建筑物购建</w:t>
            </w:r>
          </w:p>
        </w:tc>
        <w:tc>
          <w:tcPr>
            <w:tcW w:w="133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30107</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绩效工资</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2</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30205</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水费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31002</w:t>
            </w:r>
          </w:p>
        </w:tc>
        <w:tc>
          <w:tcPr>
            <w:tcW w:w="3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办公设备购置</w:t>
            </w:r>
          </w:p>
        </w:tc>
        <w:tc>
          <w:tcPr>
            <w:tcW w:w="133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2.34</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30108</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机关事业单位基本养老保险费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rPr>
              <w:t>2</w:t>
            </w:r>
            <w:r>
              <w:rPr>
                <w:rFonts w:hint="eastAsia" w:ascii="宋体" w:hAnsi="宋体" w:cs="宋体"/>
                <w:color w:val="000000"/>
                <w:sz w:val="20"/>
                <w:szCs w:val="20"/>
                <w:lang w:val="en-US" w:eastAsia="zh-CN"/>
              </w:rPr>
              <w:t>2.11</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30206</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电费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31003</w:t>
            </w:r>
          </w:p>
        </w:tc>
        <w:tc>
          <w:tcPr>
            <w:tcW w:w="3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专用设备购置</w:t>
            </w:r>
          </w:p>
        </w:tc>
        <w:tc>
          <w:tcPr>
            <w:tcW w:w="133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30109</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职业年金缴费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30207</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邮电费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0.53</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31005</w:t>
            </w:r>
          </w:p>
        </w:tc>
        <w:tc>
          <w:tcPr>
            <w:tcW w:w="3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基础设施建设</w:t>
            </w:r>
          </w:p>
        </w:tc>
        <w:tc>
          <w:tcPr>
            <w:tcW w:w="133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30110</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职工基本医疗保险缴费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9.99</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30208</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取暖费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31006</w:t>
            </w:r>
          </w:p>
        </w:tc>
        <w:tc>
          <w:tcPr>
            <w:tcW w:w="3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大型修缮</w:t>
            </w:r>
          </w:p>
        </w:tc>
        <w:tc>
          <w:tcPr>
            <w:tcW w:w="133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30111</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公务员医疗补助缴费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30209</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物业管理费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31007</w:t>
            </w:r>
          </w:p>
        </w:tc>
        <w:tc>
          <w:tcPr>
            <w:tcW w:w="3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信息网络及软件购置更新</w:t>
            </w:r>
          </w:p>
        </w:tc>
        <w:tc>
          <w:tcPr>
            <w:tcW w:w="133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30112</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其他社会保障缴费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2.01</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30211</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差旅费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2.99</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31008</w:t>
            </w:r>
          </w:p>
        </w:tc>
        <w:tc>
          <w:tcPr>
            <w:tcW w:w="3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物资储备</w:t>
            </w:r>
          </w:p>
        </w:tc>
        <w:tc>
          <w:tcPr>
            <w:tcW w:w="133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30113</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住房公积金</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rPr>
              <w:t>1</w:t>
            </w:r>
            <w:r>
              <w:rPr>
                <w:rFonts w:hint="eastAsia" w:ascii="宋体" w:hAnsi="宋体" w:cs="宋体"/>
                <w:color w:val="000000"/>
                <w:sz w:val="20"/>
                <w:szCs w:val="20"/>
                <w:lang w:val="en-US" w:eastAsia="zh-CN"/>
              </w:rPr>
              <w:t>8.80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30212</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因公出国（境）费用</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31009</w:t>
            </w:r>
          </w:p>
        </w:tc>
        <w:tc>
          <w:tcPr>
            <w:tcW w:w="3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土地补偿</w:t>
            </w:r>
          </w:p>
        </w:tc>
        <w:tc>
          <w:tcPr>
            <w:tcW w:w="133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30114</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医疗费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30213</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维修（护）费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31010</w:t>
            </w:r>
          </w:p>
        </w:tc>
        <w:tc>
          <w:tcPr>
            <w:tcW w:w="3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安置补助</w:t>
            </w:r>
          </w:p>
        </w:tc>
        <w:tc>
          <w:tcPr>
            <w:tcW w:w="133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30199</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其他工资福利支出</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30214</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租赁费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31011</w:t>
            </w:r>
          </w:p>
        </w:tc>
        <w:tc>
          <w:tcPr>
            <w:tcW w:w="3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地上附着物和青苗补偿</w:t>
            </w:r>
          </w:p>
        </w:tc>
        <w:tc>
          <w:tcPr>
            <w:tcW w:w="133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对个人和家庭的补助</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6.16</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30215</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会议费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31012</w:t>
            </w:r>
          </w:p>
        </w:tc>
        <w:tc>
          <w:tcPr>
            <w:tcW w:w="3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拆迁补偿</w:t>
            </w:r>
          </w:p>
        </w:tc>
        <w:tc>
          <w:tcPr>
            <w:tcW w:w="133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30301</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离休费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30216</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培训费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0.27</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31013</w:t>
            </w:r>
          </w:p>
        </w:tc>
        <w:tc>
          <w:tcPr>
            <w:tcW w:w="3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公务用车购置</w:t>
            </w:r>
          </w:p>
        </w:tc>
        <w:tc>
          <w:tcPr>
            <w:tcW w:w="133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30302</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退休费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5.40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30217</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公务招待费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0.10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31019</w:t>
            </w:r>
          </w:p>
        </w:tc>
        <w:tc>
          <w:tcPr>
            <w:tcW w:w="3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其他交通工具购置</w:t>
            </w:r>
          </w:p>
        </w:tc>
        <w:tc>
          <w:tcPr>
            <w:tcW w:w="133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30303</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退职（役）费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30218</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专用材料费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31021</w:t>
            </w:r>
          </w:p>
        </w:tc>
        <w:tc>
          <w:tcPr>
            <w:tcW w:w="3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文物和陈列品购置</w:t>
            </w:r>
          </w:p>
        </w:tc>
        <w:tc>
          <w:tcPr>
            <w:tcW w:w="133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30304</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抚恤金</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30224</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被装购置费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31022</w:t>
            </w:r>
          </w:p>
        </w:tc>
        <w:tc>
          <w:tcPr>
            <w:tcW w:w="3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无形资产购置</w:t>
            </w:r>
          </w:p>
        </w:tc>
        <w:tc>
          <w:tcPr>
            <w:tcW w:w="133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30305</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生活补助</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0.76</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30225</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专用燃料费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31099</w:t>
            </w:r>
          </w:p>
        </w:tc>
        <w:tc>
          <w:tcPr>
            <w:tcW w:w="3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其他资本性支出</w:t>
            </w:r>
          </w:p>
        </w:tc>
        <w:tc>
          <w:tcPr>
            <w:tcW w:w="133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30306</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救济费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30226</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劳务费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61.99</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w:t>
            </w:r>
          </w:p>
        </w:tc>
        <w:tc>
          <w:tcPr>
            <w:tcW w:w="3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其他支出</w:t>
            </w:r>
          </w:p>
        </w:tc>
        <w:tc>
          <w:tcPr>
            <w:tcW w:w="133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30307</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医疗费补助</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30227</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委托业务费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39906</w:t>
            </w:r>
          </w:p>
        </w:tc>
        <w:tc>
          <w:tcPr>
            <w:tcW w:w="3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赠与</w:t>
            </w:r>
          </w:p>
        </w:tc>
        <w:tc>
          <w:tcPr>
            <w:tcW w:w="133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30308</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助学金</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30228</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工会经费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3.04</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39907</w:t>
            </w:r>
          </w:p>
        </w:tc>
        <w:tc>
          <w:tcPr>
            <w:tcW w:w="3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国家赔偿费用支出</w:t>
            </w:r>
          </w:p>
        </w:tc>
        <w:tc>
          <w:tcPr>
            <w:tcW w:w="133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30309</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奖励金</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30229</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福利费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39908</w:t>
            </w:r>
          </w:p>
        </w:tc>
        <w:tc>
          <w:tcPr>
            <w:tcW w:w="3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对民间非营利组织和群众性自治组织补贴</w:t>
            </w:r>
          </w:p>
        </w:tc>
        <w:tc>
          <w:tcPr>
            <w:tcW w:w="133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30310</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个人农业生产补贴</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30231</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公务用车运行维护费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39999</w:t>
            </w:r>
          </w:p>
        </w:tc>
        <w:tc>
          <w:tcPr>
            <w:tcW w:w="3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其他支出</w:t>
            </w:r>
          </w:p>
        </w:tc>
        <w:tc>
          <w:tcPr>
            <w:tcW w:w="133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30399</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对其他个人和家庭的补助支出</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30239</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其他交通费用</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14.53</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p>
        </w:tc>
        <w:tc>
          <w:tcPr>
            <w:tcW w:w="3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p>
        </w:tc>
        <w:tc>
          <w:tcPr>
            <w:tcW w:w="133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30240</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税金及附加费用</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p>
        </w:tc>
        <w:tc>
          <w:tcPr>
            <w:tcW w:w="3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w:t>
            </w:r>
          </w:p>
        </w:tc>
        <w:tc>
          <w:tcPr>
            <w:tcW w:w="133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30299</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其他商品和服务支出</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p>
        </w:tc>
        <w:tc>
          <w:tcPr>
            <w:tcW w:w="3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w:t>
            </w:r>
          </w:p>
        </w:tc>
        <w:tc>
          <w:tcPr>
            <w:tcW w:w="133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人员经费合计</w:t>
            </w:r>
          </w:p>
        </w:tc>
        <w:tc>
          <w:tcPr>
            <w:tcW w:w="938"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236.37</w:t>
            </w:r>
          </w:p>
        </w:tc>
        <w:tc>
          <w:tcPr>
            <w:tcW w:w="7918" w:type="dxa"/>
            <w:gridSpan w:val="5"/>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公用经费合计</w:t>
            </w:r>
          </w:p>
        </w:tc>
        <w:tc>
          <w:tcPr>
            <w:tcW w:w="1339"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128.28</w:t>
            </w:r>
          </w:p>
        </w:tc>
      </w:tr>
      <w:tr>
        <w:tblPrEx>
          <w:tblCellMar>
            <w:top w:w="0" w:type="dxa"/>
            <w:left w:w="0" w:type="dxa"/>
            <w:bottom w:w="0" w:type="dxa"/>
            <w:right w:w="0" w:type="dxa"/>
          </w:tblCellMar>
        </w:tblPrEx>
        <w:trPr>
          <w:trHeight w:val="390" w:hRule="atLeast"/>
        </w:trPr>
        <w:tc>
          <w:tcPr>
            <w:tcW w:w="13988" w:type="dxa"/>
            <w:gridSpan w:val="9"/>
            <w:tcBorders>
              <w:top w:val="nil"/>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注：本表反映部门本年度一般公共预算财政拨款基本支出明细情况。本表金额转换为万元时，因四舍五入可能存在尾差。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0" w:type="auto"/>
        <w:tblInd w:w="0" w:type="dxa"/>
        <w:tblLayout w:type="fixed"/>
        <w:tblCellMar>
          <w:top w:w="0" w:type="dxa"/>
          <w:left w:w="0" w:type="dxa"/>
          <w:bottom w:w="0" w:type="dxa"/>
          <w:right w:w="0" w:type="dxa"/>
        </w:tblCellMar>
      </w:tblPr>
      <w:tblGrid>
        <w:gridCol w:w="1151"/>
        <w:gridCol w:w="1149"/>
        <w:gridCol w:w="1150"/>
        <w:gridCol w:w="1150"/>
        <w:gridCol w:w="1151"/>
        <w:gridCol w:w="1150"/>
        <w:gridCol w:w="1151"/>
        <w:gridCol w:w="1151"/>
        <w:gridCol w:w="1151"/>
        <w:gridCol w:w="1151"/>
        <w:gridCol w:w="967"/>
        <w:gridCol w:w="1335"/>
      </w:tblGrid>
      <w:tr>
        <w:tblPrEx>
          <w:tblCellMar>
            <w:top w:w="0" w:type="dxa"/>
            <w:left w:w="0" w:type="dxa"/>
            <w:bottom w:w="0" w:type="dxa"/>
            <w:right w:w="0" w:type="dxa"/>
          </w:tblCellMar>
        </w:tblPrEx>
        <w:trPr>
          <w:trHeight w:val="600" w:hRule="atLeast"/>
        </w:trPr>
        <w:tc>
          <w:tcPr>
            <w:tcW w:w="13807" w:type="dxa"/>
            <w:gridSpan w:val="12"/>
            <w:tcBorders>
              <w:top w:val="nil"/>
              <w:left w:val="nil"/>
              <w:bottom w:val="nil"/>
              <w:right w:val="nil"/>
            </w:tcBorders>
            <w:shd w:val="clear" w:color="auto" w:fill="FFFFFF"/>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一般公共预算财政拨款“三公”经费支出决算表</w:t>
            </w:r>
          </w:p>
        </w:tc>
      </w:tr>
      <w:tr>
        <w:tblPrEx>
          <w:tblCellMar>
            <w:top w:w="0" w:type="dxa"/>
            <w:left w:w="0" w:type="dxa"/>
            <w:bottom w:w="0" w:type="dxa"/>
            <w:right w:w="0" w:type="dxa"/>
          </w:tblCellMar>
        </w:tblPrEx>
        <w:trPr>
          <w:trHeight w:val="222" w:hRule="atLeast"/>
        </w:trPr>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4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967"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335" w:type="dxa"/>
            <w:tcBorders>
              <w:top w:val="nil"/>
              <w:left w:val="nil"/>
              <w:bottom w:val="nil"/>
              <w:right w:val="nil"/>
            </w:tcBorders>
            <w:shd w:val="clear" w:color="auto"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公开07表</w:t>
            </w:r>
          </w:p>
        </w:tc>
      </w:tr>
      <w:tr>
        <w:tblPrEx>
          <w:tblCellMar>
            <w:top w:w="0" w:type="dxa"/>
            <w:left w:w="0" w:type="dxa"/>
            <w:bottom w:w="0" w:type="dxa"/>
            <w:right w:w="0" w:type="dxa"/>
          </w:tblCellMar>
        </w:tblPrEx>
        <w:trPr>
          <w:trHeight w:val="300" w:hRule="atLeast"/>
        </w:trPr>
        <w:tc>
          <w:tcPr>
            <w:tcW w:w="2300"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kern w:val="0"/>
                <w:sz w:val="20"/>
                <w:szCs w:val="20"/>
                <w:lang w:bidi="ar"/>
              </w:rPr>
              <w:t>部门：义马市统计局</w:t>
            </w:r>
          </w:p>
        </w:tc>
        <w:tc>
          <w:tcPr>
            <w:tcW w:w="1150"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967"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335" w:type="dxa"/>
            <w:tcBorders>
              <w:top w:val="nil"/>
              <w:left w:val="nil"/>
              <w:bottom w:val="nil"/>
              <w:right w:val="nil"/>
            </w:tcBorders>
            <w:shd w:val="clear" w:color="auto"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559" w:hRule="atLeast"/>
        </w:trPr>
        <w:tc>
          <w:tcPr>
            <w:tcW w:w="6901" w:type="dxa"/>
            <w:gridSpan w:val="6"/>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预算数</w:t>
            </w:r>
          </w:p>
        </w:tc>
        <w:tc>
          <w:tcPr>
            <w:tcW w:w="6906" w:type="dxa"/>
            <w:gridSpan w:val="6"/>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tblPrEx>
          <w:tblCellMar>
            <w:top w:w="0" w:type="dxa"/>
            <w:left w:w="0" w:type="dxa"/>
            <w:bottom w:w="0" w:type="dxa"/>
            <w:right w:w="0" w:type="dxa"/>
          </w:tblCellMar>
        </w:tblPrEx>
        <w:trPr>
          <w:trHeight w:val="600" w:hRule="atLeast"/>
        </w:trPr>
        <w:tc>
          <w:tcPr>
            <w:tcW w:w="1151"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14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w:t>
            </w:r>
          </w:p>
        </w:tc>
        <w:tc>
          <w:tcPr>
            <w:tcW w:w="34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公务用车购置及运行费</w:t>
            </w:r>
          </w:p>
        </w:tc>
        <w:tc>
          <w:tcPr>
            <w:tcW w:w="11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公务接待费</w:t>
            </w:r>
          </w:p>
        </w:tc>
        <w:tc>
          <w:tcPr>
            <w:tcW w:w="1151"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1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w:t>
            </w:r>
          </w:p>
        </w:tc>
        <w:tc>
          <w:tcPr>
            <w:tcW w:w="326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公务用车购置及运行费</w:t>
            </w:r>
          </w:p>
        </w:tc>
        <w:tc>
          <w:tcPr>
            <w:tcW w:w="1335" w:type="dxa"/>
            <w:vMerge w:val="restart"/>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公务接待费</w:t>
            </w:r>
          </w:p>
        </w:tc>
      </w:tr>
      <w:tr>
        <w:tblPrEx>
          <w:tblCellMar>
            <w:top w:w="0" w:type="dxa"/>
            <w:left w:w="0" w:type="dxa"/>
            <w:bottom w:w="0" w:type="dxa"/>
            <w:right w:w="0" w:type="dxa"/>
          </w:tblCellMar>
        </w:tblPrEx>
        <w:trPr>
          <w:trHeight w:val="600" w:hRule="atLeast"/>
        </w:trPr>
        <w:tc>
          <w:tcPr>
            <w:tcW w:w="115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4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15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购置费</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运行费</w:t>
            </w:r>
          </w:p>
        </w:tc>
        <w:tc>
          <w:tcPr>
            <w:tcW w:w="11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1"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购置费</w:t>
            </w:r>
          </w:p>
        </w:tc>
        <w:tc>
          <w:tcPr>
            <w:tcW w:w="96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运行费</w:t>
            </w:r>
          </w:p>
        </w:tc>
        <w:tc>
          <w:tcPr>
            <w:tcW w:w="1335" w:type="dxa"/>
            <w:vMerge w:val="continue"/>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559" w:hRule="atLeast"/>
        </w:trPr>
        <w:tc>
          <w:tcPr>
            <w:tcW w:w="1151"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335"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r>
      <w:tr>
        <w:tblPrEx>
          <w:tblCellMar>
            <w:top w:w="0" w:type="dxa"/>
            <w:left w:w="0" w:type="dxa"/>
            <w:bottom w:w="0" w:type="dxa"/>
            <w:right w:w="0" w:type="dxa"/>
          </w:tblCellMar>
        </w:tblPrEx>
        <w:trPr>
          <w:trHeight w:val="855" w:hRule="atLeast"/>
        </w:trPr>
        <w:tc>
          <w:tcPr>
            <w:tcW w:w="1151" w:type="dxa"/>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jc w:val="right"/>
              <w:rPr>
                <w:rFonts w:hint="eastAsia" w:ascii="宋体" w:hAnsi="宋体" w:eastAsia="宋体" w:cs="宋体"/>
                <w:color w:val="000000"/>
                <w:sz w:val="20"/>
                <w:szCs w:val="20"/>
                <w:lang w:eastAsia="zh-CN"/>
              </w:rPr>
            </w:pPr>
            <w:r>
              <w:rPr>
                <w:rFonts w:hint="eastAsia" w:ascii="宋体" w:hAnsi="宋体" w:cs="宋体"/>
                <w:color w:val="000000"/>
                <w:sz w:val="20"/>
                <w:szCs w:val="20"/>
                <w:lang w:val="en-US" w:eastAsia="zh-CN"/>
              </w:rPr>
              <w:t>1</w:t>
            </w:r>
          </w:p>
        </w:tc>
        <w:tc>
          <w:tcPr>
            <w:tcW w:w="11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1</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0.10</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967" w:type="dxa"/>
            <w:tcBorders>
              <w:top w:val="single" w:color="000000" w:sz="4" w:space="0"/>
              <w:left w:val="single" w:color="000000" w:sz="4" w:space="0"/>
              <w:bottom w:val="single" w:color="000000" w:sz="8" w:space="0"/>
              <w:right w:val="nil"/>
            </w:tcBorders>
            <w:noWrap w:val="0"/>
            <w:tcMar>
              <w:top w:w="15" w:type="dxa"/>
              <w:left w:w="15" w:type="dxa"/>
              <w:right w:w="15" w:type="dxa"/>
            </w:tcMar>
            <w:vAlign w:val="center"/>
          </w:tcPr>
          <w:p>
            <w:pPr>
              <w:jc w:val="right"/>
              <w:rPr>
                <w:rFonts w:hint="eastAsia" w:ascii="宋体" w:hAnsi="宋体" w:cs="宋体"/>
                <w:color w:val="000000"/>
                <w:sz w:val="20"/>
                <w:szCs w:val="20"/>
              </w:rPr>
            </w:pPr>
          </w:p>
        </w:tc>
        <w:tc>
          <w:tcPr>
            <w:tcW w:w="1335"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0.10</w:t>
            </w:r>
          </w:p>
        </w:tc>
      </w:tr>
      <w:tr>
        <w:tblPrEx>
          <w:tblCellMar>
            <w:top w:w="0" w:type="dxa"/>
            <w:left w:w="0" w:type="dxa"/>
            <w:bottom w:w="0" w:type="dxa"/>
            <w:right w:w="0" w:type="dxa"/>
          </w:tblCellMar>
        </w:tblPrEx>
        <w:trPr>
          <w:trHeight w:val="900" w:hRule="atLeast"/>
        </w:trPr>
        <w:tc>
          <w:tcPr>
            <w:tcW w:w="13807" w:type="dxa"/>
            <w:gridSpan w:val="12"/>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注：本表反映部门本年度“三公”经费支出预决算情况。其中，</w:t>
            </w:r>
            <w:r>
              <w:rPr>
                <w:rStyle w:val="9"/>
                <w:rFonts w:hint="default"/>
                <w:sz w:val="20"/>
                <w:szCs w:val="20"/>
                <w:lang w:bidi="ar"/>
              </w:rPr>
              <w:t>预算数为“三公”经费年初预算数，决算数是包括当年一般公共预算财政拨款和以前年度结转资金安排的实际支出。</w:t>
            </w:r>
            <w:r>
              <w:rPr>
                <w:rFonts w:hint="eastAsia" w:ascii="宋体" w:hAnsi="宋体" w:cs="宋体"/>
                <w:color w:val="000000"/>
                <w:kern w:val="0"/>
                <w:sz w:val="20"/>
                <w:szCs w:val="20"/>
                <w:lang w:bidi="ar"/>
              </w:rPr>
              <w:t>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2098" w:right="1474" w:bottom="1984" w:left="1587" w:header="720" w:footer="720" w:gutter="0"/>
          <w:pgNumType w:fmt="numberInDash"/>
          <w:cols w:space="720" w:num="1"/>
          <w:docGrid w:type="lines" w:linePitch="312" w:charSpace="0"/>
        </w:sectPr>
      </w:pPr>
    </w:p>
    <w:tbl>
      <w:tblPr>
        <w:tblStyle w:val="4"/>
        <w:tblW w:w="0" w:type="auto"/>
        <w:tblInd w:w="0" w:type="dxa"/>
        <w:tblLayout w:type="fixed"/>
        <w:tblCellMar>
          <w:top w:w="0" w:type="dxa"/>
          <w:left w:w="0" w:type="dxa"/>
          <w:bottom w:w="0" w:type="dxa"/>
          <w:right w:w="0" w:type="dxa"/>
        </w:tblCellMar>
      </w:tblPr>
      <w:tblGrid>
        <w:gridCol w:w="612"/>
        <w:gridCol w:w="536"/>
        <w:gridCol w:w="1276"/>
        <w:gridCol w:w="1926"/>
        <w:gridCol w:w="1926"/>
        <w:gridCol w:w="1926"/>
        <w:gridCol w:w="1927"/>
        <w:gridCol w:w="1926"/>
        <w:gridCol w:w="1933"/>
      </w:tblGrid>
      <w:tr>
        <w:tblPrEx>
          <w:tblCellMar>
            <w:top w:w="0" w:type="dxa"/>
            <w:left w:w="0" w:type="dxa"/>
            <w:bottom w:w="0" w:type="dxa"/>
            <w:right w:w="0" w:type="dxa"/>
          </w:tblCellMar>
        </w:tblPrEx>
        <w:trPr>
          <w:trHeight w:val="600" w:hRule="atLeast"/>
        </w:trPr>
        <w:tc>
          <w:tcPr>
            <w:tcW w:w="13988" w:type="dxa"/>
            <w:gridSpan w:val="9"/>
            <w:tcBorders>
              <w:top w:val="nil"/>
              <w:left w:val="nil"/>
              <w:bottom w:val="nil"/>
              <w:right w:val="nil"/>
            </w:tcBorders>
            <w:shd w:val="clear" w:color="auto" w:fill="FFFFFF"/>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政府性基金预算财政拨款收入支出决算表</w:t>
            </w:r>
          </w:p>
        </w:tc>
      </w:tr>
      <w:tr>
        <w:tblPrEx>
          <w:tblCellMar>
            <w:top w:w="0" w:type="dxa"/>
            <w:left w:w="0" w:type="dxa"/>
            <w:bottom w:w="0" w:type="dxa"/>
            <w:right w:w="0" w:type="dxa"/>
          </w:tblCellMar>
        </w:tblPrEx>
        <w:trPr>
          <w:trHeight w:val="222" w:hRule="atLeast"/>
        </w:trPr>
        <w:tc>
          <w:tcPr>
            <w:tcW w:w="612"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536"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7"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bookmarkStart w:id="0" w:name="_GoBack"/>
            <w:bookmarkEnd w:id="0"/>
          </w:p>
        </w:tc>
        <w:tc>
          <w:tcPr>
            <w:tcW w:w="1933" w:type="dxa"/>
            <w:tcBorders>
              <w:top w:val="nil"/>
              <w:left w:val="nil"/>
              <w:bottom w:val="nil"/>
              <w:right w:val="nil"/>
            </w:tcBorders>
            <w:shd w:val="clear" w:color="auto"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公开08表</w:t>
            </w:r>
          </w:p>
        </w:tc>
      </w:tr>
      <w:tr>
        <w:tblPrEx>
          <w:tblCellMar>
            <w:top w:w="0" w:type="dxa"/>
            <w:left w:w="0" w:type="dxa"/>
            <w:bottom w:w="0" w:type="dxa"/>
            <w:right w:w="0" w:type="dxa"/>
          </w:tblCellMar>
        </w:tblPrEx>
        <w:trPr>
          <w:trHeight w:val="300" w:hRule="atLeast"/>
        </w:trPr>
        <w:tc>
          <w:tcPr>
            <w:tcW w:w="2424" w:type="dxa"/>
            <w:gridSpan w:val="3"/>
            <w:tcBorders>
              <w:top w:val="nil"/>
              <w:left w:val="nil"/>
              <w:bottom w:val="nil"/>
              <w:right w:val="nil"/>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r>
              <w:rPr>
                <w:rFonts w:hint="eastAsia" w:ascii="宋体" w:hAnsi="宋体" w:cs="宋体"/>
                <w:color w:val="000000"/>
                <w:sz w:val="20"/>
                <w:szCs w:val="20"/>
              </w:rPr>
              <w:t>义马市统计局</w:t>
            </w:r>
          </w:p>
        </w:tc>
        <w:tc>
          <w:tcPr>
            <w:tcW w:w="1926"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7"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33" w:type="dxa"/>
            <w:tcBorders>
              <w:top w:val="nil"/>
              <w:left w:val="nil"/>
              <w:bottom w:val="nil"/>
              <w:right w:val="nil"/>
            </w:tcBorders>
            <w:shd w:val="clear" w:color="auto" w:fill="FFFFFF"/>
            <w:noWrap w:val="0"/>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05" w:hRule="atLeast"/>
        </w:trPr>
        <w:tc>
          <w:tcPr>
            <w:tcW w:w="2424" w:type="dxa"/>
            <w:gridSpan w:val="3"/>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926" w:type="dxa"/>
            <w:vMerge w:val="restart"/>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年初结转和结余</w:t>
            </w:r>
          </w:p>
        </w:tc>
        <w:tc>
          <w:tcPr>
            <w:tcW w:w="1926"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w:t>
            </w:r>
          </w:p>
        </w:tc>
        <w:tc>
          <w:tcPr>
            <w:tcW w:w="5779" w:type="dxa"/>
            <w:gridSpan w:val="3"/>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c>
          <w:tcPr>
            <w:tcW w:w="1933" w:type="dxa"/>
            <w:vMerge w:val="restart"/>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年末结转和结余</w:t>
            </w:r>
          </w:p>
        </w:tc>
      </w:tr>
      <w:tr>
        <w:tblPrEx>
          <w:tblCellMar>
            <w:top w:w="0" w:type="dxa"/>
            <w:left w:w="0" w:type="dxa"/>
            <w:bottom w:w="0" w:type="dxa"/>
            <w:right w:w="0" w:type="dxa"/>
          </w:tblCellMar>
        </w:tblPrEx>
        <w:trPr>
          <w:trHeight w:val="540" w:hRule="atLeast"/>
        </w:trPr>
        <w:tc>
          <w:tcPr>
            <w:tcW w:w="1148" w:type="dxa"/>
            <w:gridSpan w:val="2"/>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12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926" w:type="dxa"/>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927"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1926" w:type="dxa"/>
            <w:vMerge w:val="restart"/>
            <w:tcBorders>
              <w:top w:val="nil"/>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1933" w:type="dxa"/>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7"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continue"/>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33" w:type="dxa"/>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7"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continue"/>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33" w:type="dxa"/>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2424"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0" w:type="dxa"/>
            <w:bottom w:w="0" w:type="dxa"/>
            <w:right w:w="0" w:type="dxa"/>
          </w:tblCellMar>
        </w:tblPrEx>
        <w:trPr>
          <w:trHeight w:val="450" w:hRule="atLeast"/>
        </w:trPr>
        <w:tc>
          <w:tcPr>
            <w:tcW w:w="2424" w:type="dxa"/>
            <w:gridSpan w:val="3"/>
            <w:tcBorders>
              <w:top w:val="nil"/>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8"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645" w:hRule="atLeast"/>
        </w:trPr>
        <w:tc>
          <w:tcPr>
            <w:tcW w:w="13988" w:type="dxa"/>
            <w:gridSpan w:val="9"/>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注：本表反映部门本年度政府性基金预算财政拨款收入、支出及结转和结余情况。</w:t>
            </w:r>
          </w:p>
        </w:tc>
      </w:tr>
    </w:tbl>
    <w:p>
      <w:pPr>
        <w:widowControl/>
        <w:spacing w:line="590" w:lineRule="exact"/>
        <w:jc w:val="left"/>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r>
        <w:rPr>
          <w:rFonts w:hint="eastAsia" w:ascii="仿宋_GB2312" w:hAnsi="仿宋_GB2312" w:eastAsia="仿宋_GB2312" w:cs="仿宋_GB2312"/>
          <w:sz w:val="32"/>
          <w:szCs w:val="32"/>
        </w:rPr>
        <w:t>说明：我部门没有政府性基金收入，也没有使用政府性基金安排的支出，故本表无数据。</w:t>
      </w:r>
    </w:p>
    <w:p>
      <w:pPr>
        <w:widowControl/>
        <w:spacing w:line="590" w:lineRule="exact"/>
        <w:jc w:val="left"/>
        <w:rPr>
          <w:rFonts w:hint="eastAsia" w:ascii="仿宋_GB2312" w:hAnsi="仿宋_GB2312" w:eastAsia="仿宋_GB2312" w:cs="仿宋_GB2312"/>
          <w:sz w:val="32"/>
          <w:szCs w:val="32"/>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 xml:space="preserve">第三部分  </w:t>
      </w:r>
      <w:r>
        <w:rPr>
          <w:rFonts w:hint="eastAsia" w:ascii="黑体" w:hAnsi="黑体" w:eastAsia="黑体" w:cs="黑体"/>
          <w:sz w:val="48"/>
          <w:szCs w:val="48"/>
          <w:lang w:eastAsia="zh-CN"/>
        </w:rPr>
        <w:t>2020</w:t>
      </w:r>
      <w:r>
        <w:rPr>
          <w:rFonts w:hint="eastAsia" w:ascii="黑体" w:hAnsi="黑体" w:eastAsia="黑体" w:cs="黑体"/>
          <w:sz w:val="48"/>
          <w:szCs w:val="48"/>
        </w:rPr>
        <w:t>年度部门决算情况说明</w:t>
      </w:r>
    </w:p>
    <w:p>
      <w:pPr>
        <w:widowControl/>
        <w:jc w:val="left"/>
        <w:rPr>
          <w:rFonts w:hint="eastAsia"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年度收、支总计均为366.61万元。与上年度相比，收、支总计各减少23.88万元，下降6.12%。主要原因是因第四次全国经济普查</w:t>
      </w:r>
      <w:r>
        <w:rPr>
          <w:rFonts w:hint="eastAsia" w:ascii="仿宋_GB2312" w:hAnsi="仿宋_GB2312" w:eastAsia="仿宋_GB2312" w:cs="仿宋_GB2312"/>
          <w:sz w:val="32"/>
          <w:szCs w:val="32"/>
          <w:lang w:eastAsia="zh-CN"/>
        </w:rPr>
        <w:t>结束</w:t>
      </w:r>
      <w:r>
        <w:rPr>
          <w:rFonts w:hint="eastAsia" w:ascii="仿宋_GB2312" w:hAnsi="仿宋_GB2312" w:eastAsia="仿宋_GB2312" w:cs="仿宋_GB2312"/>
          <w:sz w:val="32"/>
          <w:szCs w:val="32"/>
        </w:rPr>
        <w:t>，经费</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lang w:eastAsia="zh-CN"/>
        </w:rPr>
        <w:t>2020年度收入合计366.61万元，其中：财政拨款收入366.59万元，占99.99%；上级补助收入0万元，占0%；事业收入0万元，占0%；经营收入0万元，占0%；附属单位上缴收入0万元，占0%；其他收入0.02万元，占0%。</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2020年度支出合计364.65万元，其中：基本支出364.65万元，占100%；项目支出0万元，占0%；上缴上级支出0万元，占0%；经营支出0万元，占0%；对附属单位补助支出0万元，占0%。</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2020年度财政拨款收、支总计均为366.59万元。与上年度相比，财政拨款收、支总计各增加减少23.88万元，下降6.51%。主要原因是</w:t>
      </w:r>
      <w:r>
        <w:rPr>
          <w:rFonts w:hint="eastAsia" w:ascii="仿宋_GB2312" w:hAnsi="仿宋_GB2312" w:eastAsia="仿宋_GB2312" w:cs="仿宋_GB2312"/>
          <w:sz w:val="32"/>
          <w:szCs w:val="32"/>
        </w:rPr>
        <w:t>第四次全国经济普查</w:t>
      </w:r>
      <w:r>
        <w:rPr>
          <w:rFonts w:hint="eastAsia" w:ascii="仿宋_GB2312" w:hAnsi="仿宋_GB2312" w:eastAsia="仿宋_GB2312" w:cs="仿宋_GB2312"/>
          <w:sz w:val="32"/>
          <w:szCs w:val="32"/>
          <w:lang w:eastAsia="zh-CN"/>
        </w:rPr>
        <w:t>结束</w:t>
      </w:r>
      <w:r>
        <w:rPr>
          <w:rFonts w:hint="eastAsia" w:ascii="仿宋_GB2312" w:hAnsi="仿宋_GB2312" w:eastAsia="仿宋_GB2312" w:cs="仿宋_GB2312"/>
          <w:sz w:val="32"/>
          <w:szCs w:val="32"/>
        </w:rPr>
        <w:t>，经费</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2020年度一般公共预算财政拨款支出364.65万元，占支出合计的100%。与上年度相比，一般公共预算财政拨款支出减少25.82万元，增长下降6.61%。主要原因是</w:t>
      </w:r>
      <w:r>
        <w:rPr>
          <w:rFonts w:hint="eastAsia" w:ascii="仿宋_GB2312" w:hAnsi="仿宋_GB2312" w:eastAsia="仿宋_GB2312" w:cs="仿宋_GB2312"/>
          <w:sz w:val="32"/>
          <w:szCs w:val="32"/>
        </w:rPr>
        <w:t>第四次全国经济普查</w:t>
      </w:r>
      <w:r>
        <w:rPr>
          <w:rFonts w:hint="eastAsia" w:ascii="仿宋_GB2312" w:hAnsi="仿宋_GB2312" w:eastAsia="仿宋_GB2312" w:cs="仿宋_GB2312"/>
          <w:sz w:val="32"/>
          <w:szCs w:val="32"/>
          <w:lang w:eastAsia="zh-CN"/>
        </w:rPr>
        <w:t>结束</w:t>
      </w:r>
      <w:r>
        <w:rPr>
          <w:rFonts w:hint="eastAsia" w:ascii="仿宋_GB2312" w:hAnsi="仿宋_GB2312" w:eastAsia="仿宋_GB2312" w:cs="仿宋_GB2312"/>
          <w:sz w:val="32"/>
          <w:szCs w:val="32"/>
        </w:rPr>
        <w:t>，经费</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2020年度一般公共预算财政拨款支出364.65万元，主要用于以下方面：</w:t>
      </w:r>
      <w:r>
        <w:rPr>
          <w:rFonts w:hint="eastAsia" w:ascii="仿宋_GB2312" w:hAnsi="仿宋_GB2312" w:eastAsia="仿宋_GB2312" w:cs="仿宋_GB2312"/>
          <w:sz w:val="32"/>
          <w:szCs w:val="32"/>
        </w:rPr>
        <w:t>一般公共服务（类）支出</w:t>
      </w:r>
      <w:r>
        <w:rPr>
          <w:rFonts w:hint="eastAsia" w:ascii="仿宋_GB2312" w:hAnsi="仿宋_GB2312" w:eastAsia="仿宋_GB2312" w:cs="仿宋_GB2312"/>
          <w:sz w:val="32"/>
          <w:szCs w:val="32"/>
          <w:lang w:val="en-US" w:eastAsia="zh-CN"/>
        </w:rPr>
        <w:t>308.35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84.56</w:t>
      </w:r>
      <w:r>
        <w:rPr>
          <w:rFonts w:hint="eastAsia" w:ascii="仿宋_GB2312" w:hAnsi="仿宋_GB2312" w:eastAsia="仿宋_GB2312" w:cs="仿宋_GB2312"/>
          <w:sz w:val="32"/>
          <w:szCs w:val="32"/>
        </w:rPr>
        <w:t>%；社会保障和就业（类）支出</w:t>
      </w:r>
      <w:r>
        <w:rPr>
          <w:rFonts w:hint="eastAsia" w:ascii="仿宋_GB2312" w:hAnsi="仿宋_GB2312" w:eastAsia="仿宋_GB2312" w:cs="仿宋_GB2312"/>
          <w:sz w:val="32"/>
          <w:szCs w:val="32"/>
          <w:lang w:val="en-US" w:eastAsia="zh-CN"/>
        </w:rPr>
        <w:t>27.51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7.54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；医疗卫生和计划生育（类）支出</w:t>
      </w:r>
      <w:r>
        <w:rPr>
          <w:rFonts w:hint="eastAsia" w:ascii="仿宋_GB2312" w:hAnsi="仿宋_GB2312" w:eastAsia="仿宋_GB2312" w:cs="仿宋_GB2312"/>
          <w:sz w:val="32"/>
          <w:szCs w:val="32"/>
          <w:lang w:val="en-US" w:eastAsia="zh-CN"/>
        </w:rPr>
        <w:t>9.99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2.74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；住房保障（类）支出</w:t>
      </w:r>
      <w:r>
        <w:rPr>
          <w:rFonts w:hint="eastAsia" w:ascii="仿宋_GB2312" w:hAnsi="仿宋_GB2312" w:eastAsia="仿宋_GB2312" w:cs="仿宋_GB2312"/>
          <w:sz w:val="32"/>
          <w:szCs w:val="32"/>
          <w:lang w:val="en-US" w:eastAsia="zh-CN"/>
        </w:rPr>
        <w:t>18.80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5.16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2020年度一般公共预算财政拨款支出年初预算为411.95万元，支出决算为</w:t>
      </w:r>
      <w:r>
        <w:rPr>
          <w:rFonts w:hint="eastAsia" w:ascii="仿宋_GB2312" w:hAnsi="仿宋_GB2312" w:eastAsia="仿宋_GB2312" w:cs="仿宋_GB2312"/>
          <w:sz w:val="32"/>
          <w:szCs w:val="32"/>
          <w:lang w:val="en-US" w:eastAsia="zh-CN"/>
        </w:rPr>
        <w:t>364.65</w:t>
      </w:r>
      <w:r>
        <w:rPr>
          <w:rFonts w:hint="eastAsia" w:ascii="仿宋_GB2312" w:hAnsi="仿宋_GB2312" w:eastAsia="仿宋_GB2312" w:cs="仿宋_GB2312"/>
          <w:sz w:val="32"/>
          <w:szCs w:val="32"/>
          <w:lang w:eastAsia="zh-CN"/>
        </w:rPr>
        <w:t>万元，完成年初预算的88.5</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p>
    <w:p>
      <w:pPr>
        <w:ind w:firstLine="643"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b/>
          <w:sz w:val="32"/>
          <w:szCs w:val="32"/>
        </w:rPr>
        <w:t>1.一般公共服务</w:t>
      </w:r>
      <w:r>
        <w:rPr>
          <w:rFonts w:hint="eastAsia" w:ascii="仿宋_GB2312" w:hAnsi="仿宋_GB2312" w:eastAsia="仿宋_GB2312" w:cs="仿宋_GB2312"/>
          <w:b/>
          <w:bCs/>
          <w:sz w:val="32"/>
          <w:szCs w:val="32"/>
        </w:rPr>
        <w:t>（类）</w:t>
      </w:r>
      <w:r>
        <w:rPr>
          <w:rFonts w:hint="eastAsia" w:ascii="仿宋_GB2312" w:hAnsi="仿宋_GB2312" w:eastAsia="仿宋_GB2312" w:cs="仿宋_GB2312"/>
          <w:b/>
          <w:sz w:val="32"/>
          <w:szCs w:val="32"/>
        </w:rPr>
        <w:t>统计信息事务</w:t>
      </w:r>
      <w:r>
        <w:rPr>
          <w:rFonts w:hint="eastAsia" w:ascii="仿宋_GB2312" w:hAnsi="仿宋_GB2312" w:eastAsia="仿宋_GB2312" w:cs="仿宋_GB2312"/>
          <w:b/>
          <w:bCs/>
          <w:sz w:val="32"/>
          <w:szCs w:val="32"/>
        </w:rPr>
        <w:t>（款）</w:t>
      </w:r>
      <w:r>
        <w:rPr>
          <w:rFonts w:hint="eastAsia" w:ascii="仿宋_GB2312" w:hAnsi="仿宋_GB2312" w:eastAsia="仿宋_GB2312" w:cs="仿宋_GB2312"/>
          <w:b/>
          <w:sz w:val="32"/>
          <w:szCs w:val="32"/>
        </w:rPr>
        <w:t>行政运行</w:t>
      </w:r>
      <w:r>
        <w:rPr>
          <w:rFonts w:hint="eastAsia" w:ascii="仿宋_GB2312" w:hAnsi="仿宋_GB2312" w:eastAsia="仿宋_GB2312" w:cs="仿宋_GB2312"/>
          <w:b/>
          <w:bCs/>
          <w:sz w:val="32"/>
          <w:szCs w:val="32"/>
        </w:rPr>
        <w:t>（项）。</w:t>
      </w:r>
      <w:r>
        <w:rPr>
          <w:rFonts w:hint="eastAsia" w:ascii="仿宋_GB2312" w:hAnsi="仿宋_GB2312" w:eastAsia="仿宋_GB2312" w:cs="仿宋_GB2312"/>
          <w:sz w:val="32"/>
          <w:szCs w:val="32"/>
        </w:rPr>
        <w:t>年初预算为</w:t>
      </w:r>
      <w:r>
        <w:rPr>
          <w:rFonts w:hint="eastAsia" w:ascii="仿宋_GB2312" w:hAnsi="宋体" w:eastAsia="仿宋_GB2312" w:cs="Courier New"/>
          <w:sz w:val="32"/>
          <w:szCs w:val="32"/>
          <w:lang w:val="en-US" w:eastAsia="zh-CN"/>
        </w:rPr>
        <w:t>223.43</w:t>
      </w:r>
      <w:r>
        <w:rPr>
          <w:rFonts w:hint="eastAsia" w:ascii="仿宋_GB2312" w:hAnsi="仿宋_GB2312" w:eastAsia="仿宋_GB2312" w:cs="仿宋_GB2312"/>
          <w:sz w:val="32"/>
          <w:szCs w:val="32"/>
        </w:rPr>
        <w:t>元，支出决算为</w:t>
      </w:r>
      <w:r>
        <w:rPr>
          <w:rFonts w:hint="eastAsia" w:ascii="仿宋_GB2312" w:hAnsi="仿宋_GB2312" w:eastAsia="仿宋_GB2312" w:cs="仿宋_GB2312"/>
          <w:sz w:val="32"/>
          <w:szCs w:val="32"/>
          <w:lang w:val="en-US" w:eastAsia="zh-CN"/>
        </w:rPr>
        <w:t>201.74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90.29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决算数与年初预算数存在差异的主要原因是</w:t>
      </w:r>
      <w:r>
        <w:rPr>
          <w:rFonts w:hint="eastAsia" w:ascii="仿宋_GB2312" w:hAnsi="仿宋_GB2312" w:eastAsia="仿宋_GB2312" w:cs="仿宋_GB2312"/>
          <w:sz w:val="32"/>
          <w:szCs w:val="32"/>
          <w:lang w:eastAsia="zh-CN"/>
        </w:rPr>
        <w:t>工资调整</w:t>
      </w:r>
      <w:r>
        <w:rPr>
          <w:rFonts w:hint="eastAsia" w:ascii="仿宋_GB2312" w:hAnsi="仿宋_GB2312" w:eastAsia="仿宋_GB2312" w:cs="仿宋_GB2312"/>
          <w:sz w:val="32"/>
          <w:szCs w:val="32"/>
          <w:lang w:val="zh-CN"/>
        </w:rPr>
        <w:t>。</w:t>
      </w:r>
    </w:p>
    <w:p>
      <w:pPr>
        <w:ind w:firstLine="643"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b/>
          <w:sz w:val="32"/>
          <w:szCs w:val="32"/>
        </w:rPr>
        <w:t>2.一般公共服务</w:t>
      </w:r>
      <w:r>
        <w:rPr>
          <w:rFonts w:hint="eastAsia" w:ascii="仿宋_GB2312" w:hAnsi="仿宋_GB2312" w:eastAsia="仿宋_GB2312" w:cs="仿宋_GB2312"/>
          <w:b/>
          <w:bCs/>
          <w:sz w:val="32"/>
          <w:szCs w:val="32"/>
        </w:rPr>
        <w:t>（类）</w:t>
      </w:r>
      <w:r>
        <w:rPr>
          <w:rFonts w:hint="eastAsia" w:ascii="仿宋_GB2312" w:hAnsi="仿宋_GB2312" w:eastAsia="仿宋_GB2312" w:cs="仿宋_GB2312"/>
          <w:b/>
          <w:sz w:val="32"/>
          <w:szCs w:val="32"/>
        </w:rPr>
        <w:t>统计信息事务</w:t>
      </w:r>
      <w:r>
        <w:rPr>
          <w:rFonts w:hint="eastAsia" w:ascii="仿宋_GB2312" w:hAnsi="仿宋_GB2312" w:eastAsia="仿宋_GB2312" w:cs="仿宋_GB2312"/>
          <w:b/>
          <w:bCs/>
          <w:sz w:val="32"/>
          <w:szCs w:val="32"/>
        </w:rPr>
        <w:t>（款）</w:t>
      </w:r>
      <w:r>
        <w:rPr>
          <w:rFonts w:hint="eastAsia" w:ascii="仿宋_GB2312" w:hAnsi="仿宋_GB2312" w:eastAsia="仿宋_GB2312" w:cs="仿宋_GB2312"/>
          <w:b/>
          <w:sz w:val="32"/>
          <w:szCs w:val="32"/>
        </w:rPr>
        <w:t>其他统计信息事务</w:t>
      </w:r>
      <w:r>
        <w:rPr>
          <w:rFonts w:hint="eastAsia" w:ascii="仿宋_GB2312" w:hAnsi="仿宋_GB2312" w:eastAsia="仿宋_GB2312" w:cs="仿宋_GB2312"/>
          <w:b/>
          <w:bCs/>
          <w:sz w:val="32"/>
          <w:szCs w:val="32"/>
        </w:rPr>
        <w:t>（项）。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126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106.60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84.60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决算数与年初预算数存在差异的主要原因是</w:t>
      </w:r>
      <w:r>
        <w:rPr>
          <w:rFonts w:hint="eastAsia" w:ascii="仿宋_GB2312" w:hAnsi="仿宋_GB2312" w:eastAsia="仿宋_GB2312" w:cs="仿宋_GB2312"/>
          <w:sz w:val="32"/>
          <w:szCs w:val="32"/>
        </w:rPr>
        <w:t>第四次全国经济普查</w:t>
      </w:r>
      <w:r>
        <w:rPr>
          <w:rFonts w:hint="eastAsia" w:ascii="仿宋_GB2312" w:hAnsi="仿宋_GB2312" w:eastAsia="仿宋_GB2312" w:cs="仿宋_GB2312"/>
          <w:sz w:val="32"/>
          <w:szCs w:val="32"/>
          <w:lang w:eastAsia="zh-CN"/>
        </w:rPr>
        <w:t>结束</w:t>
      </w:r>
      <w:r>
        <w:rPr>
          <w:rFonts w:hint="eastAsia" w:ascii="仿宋_GB2312" w:hAnsi="仿宋_GB2312" w:eastAsia="仿宋_GB2312" w:cs="仿宋_GB2312"/>
          <w:sz w:val="32"/>
          <w:szCs w:val="32"/>
        </w:rPr>
        <w:t>，工作经费</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zh-CN"/>
        </w:rPr>
        <w:t>。</w:t>
      </w:r>
    </w:p>
    <w:p>
      <w:pPr>
        <w:ind w:firstLine="643"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rPr>
        <w:t>3.社会保障和就业（类）行政单位离退休（款）归口管理的行政单位离退休（项）</w:t>
      </w:r>
      <w:r>
        <w:rPr>
          <w:rFonts w:hint="eastAsia" w:ascii="仿宋_GB2312" w:hAnsi="仿宋_GB2312" w:eastAsia="仿宋_GB2312" w:cs="仿宋_GB2312"/>
          <w:b/>
          <w:bCs/>
          <w:sz w:val="32"/>
          <w:szCs w:val="32"/>
          <w:lang w:val="zh-CN"/>
        </w:rPr>
        <w:t>。</w:t>
      </w:r>
      <w:r>
        <w:rPr>
          <w:rFonts w:hint="eastAsia" w:ascii="仿宋_GB2312" w:hAnsi="仿宋_GB2312" w:eastAsia="仿宋_GB2312" w:cs="仿宋_GB2312"/>
          <w:sz w:val="32"/>
          <w:szCs w:val="32"/>
          <w:lang w:val="zh-CN"/>
        </w:rPr>
        <w:t>年初预算为</w:t>
      </w:r>
      <w:r>
        <w:rPr>
          <w:rFonts w:hint="eastAsia" w:ascii="仿宋_GB2312" w:hAnsi="仿宋_GB2312" w:eastAsia="仿宋_GB2312" w:cs="仿宋_GB2312"/>
          <w:sz w:val="32"/>
          <w:szCs w:val="32"/>
          <w:lang w:val="en-US" w:eastAsia="zh-CN"/>
        </w:rPr>
        <w:t>5.7</w:t>
      </w:r>
      <w:r>
        <w:rPr>
          <w:rFonts w:hint="eastAsia" w:ascii="仿宋_GB2312" w:hAnsi="仿宋_GB2312" w:eastAsia="仿宋_GB2312" w:cs="仿宋_GB2312"/>
          <w:sz w:val="32"/>
          <w:szCs w:val="32"/>
          <w:lang w:val="zh-CN"/>
        </w:rPr>
        <w:t>万元，支出决算为</w:t>
      </w: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lang w:val="zh-CN"/>
        </w:rPr>
        <w:t>万元，完成年初预算的</w:t>
      </w:r>
      <w:r>
        <w:rPr>
          <w:rFonts w:hint="eastAsia" w:ascii="仿宋_GB2312" w:hAnsi="仿宋_GB2312" w:eastAsia="仿宋_GB2312" w:cs="仿宋_GB2312"/>
          <w:sz w:val="32"/>
          <w:szCs w:val="32"/>
          <w:lang w:val="en-US" w:eastAsia="zh-CN"/>
        </w:rPr>
        <w:t>94.74</w:t>
      </w:r>
      <w:r>
        <w:rPr>
          <w:rFonts w:hint="eastAsia" w:ascii="仿宋_GB2312" w:hAnsi="仿宋_GB2312" w:eastAsia="仿宋_GB2312" w:cs="仿宋_GB2312"/>
          <w:sz w:val="32"/>
          <w:szCs w:val="32"/>
          <w:lang w:val="zh-CN"/>
        </w:rPr>
        <w:t>%。决算数与年初预算数存在差异的主要原因是一人去世，费用减少。</w:t>
      </w:r>
    </w:p>
    <w:p>
      <w:pPr>
        <w:ind w:firstLine="643"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rPr>
        <w:t>4.社会保障和就业（类）行政单位离退休（款）机关事业单位基本养老保险缴费（项）</w:t>
      </w:r>
      <w:r>
        <w:rPr>
          <w:rFonts w:hint="eastAsia" w:ascii="仿宋_GB2312" w:hAnsi="仿宋_GB2312" w:eastAsia="仿宋_GB2312" w:cs="仿宋_GB2312"/>
          <w:b/>
          <w:bCs/>
          <w:sz w:val="32"/>
          <w:szCs w:val="32"/>
          <w:lang w:val="zh-CN"/>
        </w:rPr>
        <w:t>。</w:t>
      </w:r>
      <w:r>
        <w:rPr>
          <w:rFonts w:hint="eastAsia" w:ascii="仿宋_GB2312" w:hAnsi="仿宋_GB2312" w:eastAsia="仿宋_GB2312" w:cs="仿宋_GB2312"/>
          <w:sz w:val="32"/>
          <w:szCs w:val="32"/>
          <w:lang w:val="zh-CN"/>
        </w:rPr>
        <w:t>年初预算为</w:t>
      </w:r>
      <w:r>
        <w:rPr>
          <w:rFonts w:hint="eastAsia" w:ascii="仿宋_GB2312" w:hAnsi="仿宋_GB2312" w:eastAsia="仿宋_GB2312" w:cs="仿宋_GB2312"/>
          <w:sz w:val="32"/>
          <w:szCs w:val="32"/>
          <w:lang w:val="en-US" w:eastAsia="zh-CN"/>
        </w:rPr>
        <w:t>24.78</w:t>
      </w:r>
      <w:r>
        <w:rPr>
          <w:rFonts w:hint="eastAsia" w:ascii="仿宋_GB2312" w:hAnsi="仿宋_GB2312" w:eastAsia="仿宋_GB2312" w:cs="仿宋_GB2312"/>
          <w:sz w:val="32"/>
          <w:szCs w:val="32"/>
          <w:lang w:val="zh-CN"/>
        </w:rPr>
        <w:t>万元，支出决算为</w:t>
      </w:r>
      <w:r>
        <w:rPr>
          <w:rFonts w:hint="eastAsia" w:ascii="仿宋_GB2312" w:hAnsi="仿宋_GB2312" w:eastAsia="仿宋_GB2312" w:cs="仿宋_GB2312"/>
          <w:sz w:val="32"/>
          <w:szCs w:val="32"/>
          <w:lang w:val="en-US" w:eastAsia="zh-CN"/>
        </w:rPr>
        <w:t>27.51</w:t>
      </w:r>
      <w:r>
        <w:rPr>
          <w:rFonts w:hint="eastAsia" w:ascii="仿宋_GB2312" w:hAnsi="仿宋_GB2312" w:eastAsia="仿宋_GB2312" w:cs="仿宋_GB2312"/>
          <w:sz w:val="32"/>
          <w:szCs w:val="32"/>
          <w:lang w:val="zh-CN"/>
        </w:rPr>
        <w:t>万元，完成年初预算的</w:t>
      </w:r>
      <w:r>
        <w:rPr>
          <w:rFonts w:hint="eastAsia" w:ascii="仿宋_GB2312" w:hAnsi="仿宋_GB2312" w:eastAsia="仿宋_GB2312" w:cs="仿宋_GB2312"/>
          <w:sz w:val="32"/>
          <w:szCs w:val="32"/>
          <w:lang w:val="en-US" w:eastAsia="zh-CN"/>
        </w:rPr>
        <w:t>111.02</w:t>
      </w:r>
      <w:r>
        <w:rPr>
          <w:rFonts w:hint="eastAsia" w:ascii="仿宋_GB2312" w:hAnsi="仿宋_GB2312" w:eastAsia="仿宋_GB2312" w:cs="仿宋_GB2312"/>
          <w:sz w:val="32"/>
          <w:szCs w:val="32"/>
          <w:lang w:val="zh-CN"/>
        </w:rPr>
        <w:t>%。决算数与年初预算数存在差异的主要原因是退休两人，费用增加。</w:t>
      </w:r>
    </w:p>
    <w:p>
      <w:pPr>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5.医疗卫生和计划生育（类）行政事业单位医疗（款）行政单位医疗（项）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年初预算为</w:t>
      </w:r>
      <w:r>
        <w:rPr>
          <w:rFonts w:hint="eastAsia" w:ascii="仿宋_GB2312" w:hAnsi="仿宋_GB2312" w:eastAsia="仿宋_GB2312" w:cs="仿宋_GB2312"/>
          <w:sz w:val="32"/>
          <w:szCs w:val="32"/>
          <w:lang w:val="en-US" w:eastAsia="zh-CN"/>
        </w:rPr>
        <w:t>12.39</w:t>
      </w:r>
      <w:r>
        <w:rPr>
          <w:rFonts w:hint="eastAsia" w:ascii="仿宋_GB2312" w:hAnsi="仿宋_GB2312" w:eastAsia="仿宋_GB2312" w:cs="仿宋_GB2312"/>
          <w:sz w:val="32"/>
          <w:szCs w:val="32"/>
          <w:lang w:val="zh-CN"/>
        </w:rPr>
        <w:t>万元，支出决算为</w:t>
      </w:r>
      <w:r>
        <w:rPr>
          <w:rFonts w:hint="eastAsia" w:ascii="仿宋_GB2312" w:hAnsi="仿宋_GB2312" w:eastAsia="仿宋_GB2312" w:cs="仿宋_GB2312"/>
          <w:sz w:val="32"/>
          <w:szCs w:val="32"/>
          <w:lang w:val="en-US" w:eastAsia="zh-CN"/>
        </w:rPr>
        <w:t>9.99</w:t>
      </w:r>
      <w:r>
        <w:rPr>
          <w:rFonts w:hint="eastAsia" w:ascii="仿宋_GB2312" w:hAnsi="仿宋_GB2312" w:eastAsia="仿宋_GB2312" w:cs="仿宋_GB2312"/>
          <w:sz w:val="32"/>
          <w:szCs w:val="32"/>
          <w:lang w:val="zh-CN"/>
        </w:rPr>
        <w:t>万元，完成年初预算的</w:t>
      </w:r>
      <w:r>
        <w:rPr>
          <w:rFonts w:hint="eastAsia" w:ascii="仿宋_GB2312" w:hAnsi="仿宋_GB2312" w:eastAsia="仿宋_GB2312" w:cs="仿宋_GB2312"/>
          <w:sz w:val="32"/>
          <w:szCs w:val="32"/>
          <w:lang w:val="en-US" w:eastAsia="zh-CN"/>
        </w:rPr>
        <w:t>80.63</w:t>
      </w:r>
      <w:r>
        <w:rPr>
          <w:rFonts w:hint="eastAsia" w:ascii="仿宋_GB2312" w:hAnsi="仿宋_GB2312" w:eastAsia="仿宋_GB2312" w:cs="仿宋_GB2312"/>
          <w:sz w:val="32"/>
          <w:szCs w:val="32"/>
          <w:lang w:val="zh-CN"/>
        </w:rPr>
        <w:t>%。决算数与年初预算数存在差异的主要原因是人员调资。</w:t>
      </w:r>
    </w:p>
    <w:p>
      <w:pPr>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6.住房保障（类）住房改革（款）住房公积金（项）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年初预算为</w:t>
      </w:r>
      <w:r>
        <w:rPr>
          <w:rFonts w:hint="eastAsia" w:ascii="仿宋_GB2312" w:hAnsi="仿宋_GB2312" w:eastAsia="仿宋_GB2312" w:cs="仿宋_GB2312"/>
          <w:sz w:val="32"/>
          <w:szCs w:val="32"/>
          <w:lang w:val="en-US" w:eastAsia="zh-CN"/>
        </w:rPr>
        <w:t>19.65</w:t>
      </w:r>
      <w:r>
        <w:rPr>
          <w:rFonts w:hint="eastAsia" w:ascii="仿宋_GB2312" w:hAnsi="仿宋_GB2312" w:eastAsia="仿宋_GB2312" w:cs="仿宋_GB2312"/>
          <w:sz w:val="32"/>
          <w:szCs w:val="32"/>
          <w:lang w:val="zh-CN"/>
        </w:rPr>
        <w:t>万元，支出决算为</w:t>
      </w:r>
      <w:r>
        <w:rPr>
          <w:rFonts w:hint="eastAsia" w:ascii="仿宋_GB2312" w:hAnsi="仿宋_GB2312" w:eastAsia="仿宋_GB2312" w:cs="仿宋_GB2312"/>
          <w:sz w:val="32"/>
          <w:szCs w:val="32"/>
          <w:lang w:val="en-US" w:eastAsia="zh-CN"/>
        </w:rPr>
        <w:t>18.80</w:t>
      </w:r>
      <w:r>
        <w:rPr>
          <w:rFonts w:hint="eastAsia" w:ascii="仿宋_GB2312" w:hAnsi="仿宋_GB2312" w:eastAsia="仿宋_GB2312" w:cs="仿宋_GB2312"/>
          <w:sz w:val="32"/>
          <w:szCs w:val="32"/>
          <w:lang w:val="zh-CN"/>
        </w:rPr>
        <w:t>万元，完成年初预算的</w:t>
      </w:r>
      <w:r>
        <w:rPr>
          <w:rFonts w:hint="eastAsia" w:ascii="仿宋_GB2312" w:hAnsi="仿宋_GB2312" w:eastAsia="仿宋_GB2312" w:cs="仿宋_GB2312"/>
          <w:sz w:val="32"/>
          <w:szCs w:val="32"/>
          <w:lang w:val="en-US" w:eastAsia="zh-CN"/>
        </w:rPr>
        <w:t>95.68</w:t>
      </w:r>
      <w:r>
        <w:rPr>
          <w:rFonts w:hint="eastAsia" w:ascii="仿宋_GB2312" w:hAnsi="仿宋_GB2312" w:eastAsia="仿宋_GB2312" w:cs="仿宋_GB2312"/>
          <w:sz w:val="32"/>
          <w:szCs w:val="32"/>
          <w:lang w:val="zh-CN"/>
        </w:rPr>
        <w:t>%，决算数与年初预算数存在差异的主要原因是人员调资。</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一般公共预算财政拨款基本支出364.65万元。其中：人员经费236.37万元，主要包括：基本工资、津贴补贴、机关事业单位基本养老保险缴费、职工基本医疗保险缴费、其他社会保障缴费、退休费、生活补助、住房公积金、对个人和家庭的补助；公用经费</w:t>
      </w:r>
      <w:r>
        <w:rPr>
          <w:rFonts w:hint="eastAsia" w:ascii="仿宋_GB2312" w:hAnsi="仿宋_GB2312" w:eastAsia="仿宋_GB2312" w:cs="仿宋_GB2312"/>
          <w:sz w:val="32"/>
          <w:szCs w:val="32"/>
          <w:lang w:val="en-US" w:eastAsia="zh-CN"/>
        </w:rPr>
        <w:t>128.28</w:t>
      </w:r>
      <w:r>
        <w:rPr>
          <w:rFonts w:hint="eastAsia" w:ascii="仿宋_GB2312" w:hAnsi="仿宋_GB2312" w:eastAsia="仿宋_GB2312" w:cs="仿宋_GB2312"/>
          <w:sz w:val="32"/>
          <w:szCs w:val="32"/>
        </w:rPr>
        <w:t>元，主要包括：办公费、印刷费、邮电费、差旅费、培训费、公务接待费、劳务费、工会经费、福利费、其他交通费用、其他商品和服务支出、办公设备购置、资本性支出。</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2020年度“三公”经费财政拨款支出预算为1万元，支出决算为0.1万元，完成预算的10.44%。2020</w:t>
      </w:r>
      <w:r>
        <w:rPr>
          <w:rFonts w:hint="eastAsia" w:ascii="仿宋_GB2312" w:hAnsi="仿宋_GB2312" w:eastAsia="仿宋_GB2312" w:cs="仿宋_GB2312"/>
          <w:sz w:val="32"/>
          <w:szCs w:val="32"/>
        </w:rPr>
        <w:t>年度“三公”经费支出决算数与预算数存在差异的主要原因是严格执行八项规定，减少“三公”经费财政拨款支出。</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年度“三公”经费财政拨款支出决算中，因公出国（境）费支出决算0万元，完成预算的0%，占0%；公务用车购置及运行费支出决算0万元，完成预算的0%，占0%；公务接待费支出决算0.</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75.56</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%。具体情况如下：</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年初预算为0万元，支出决算为0万元，完成年初预算的0%。决算数与年初预算数无差异。</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2．公务用车购置及运行费</w:t>
      </w:r>
      <w:r>
        <w:rPr>
          <w:rFonts w:hint="eastAsia" w:ascii="仿宋_GB2312" w:hAnsi="仿宋_GB2312" w:eastAsia="仿宋_GB2312" w:cs="仿宋_GB2312"/>
          <w:sz w:val="32"/>
          <w:szCs w:val="32"/>
        </w:rPr>
        <w:t>初预算为0万元，支出决算为0万元，完成年初预算的0%。其中：</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为0万元，购置车辆0辆，其中0车0辆、0车0辆。</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公务用车运行支出</w:t>
      </w:r>
      <w:r>
        <w:rPr>
          <w:rFonts w:hint="eastAsia" w:ascii="仿宋_GB2312" w:hAnsi="仿宋_GB2312" w:eastAsia="仿宋_GB2312" w:cs="仿宋_GB2312"/>
          <w:sz w:val="32"/>
          <w:szCs w:val="32"/>
        </w:rPr>
        <w:t>0万元。</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年期末，部门开支财政拨款的公务用车保有量为0辆。</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3.公务接待费</w:t>
      </w:r>
      <w:r>
        <w:rPr>
          <w:rFonts w:hint="eastAsia" w:ascii="仿宋_GB2312" w:hAnsi="仿宋_GB2312" w:eastAsia="仿宋_GB2312" w:cs="仿宋_GB2312"/>
          <w:sz w:val="32"/>
          <w:szCs w:val="32"/>
        </w:rPr>
        <w:t>初预算为1万元，支出决算为0.1万元，完成年初预算的10.44%。决算数与年初预算数存在差异的主要原因是严格执行八项规定，减少公务接待费用。其中：</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外宾接待支出</w:t>
      </w:r>
      <w:r>
        <w:rPr>
          <w:rFonts w:hint="eastAsia" w:ascii="仿宋_GB2312" w:hAnsi="仿宋_GB2312" w:eastAsia="仿宋_GB2312" w:cs="仿宋_GB2312"/>
          <w:sz w:val="32"/>
          <w:szCs w:val="32"/>
        </w:rPr>
        <w:t>0万元。</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年共接待国（境）外来访团组0个、来访外宾0人次（不包括陪同人员）。</w:t>
      </w:r>
    </w:p>
    <w:p>
      <w:pPr>
        <w:widowControl/>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其他国内公务接待支出</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000000"/>
          <w:sz w:val="32"/>
          <w:szCs w:val="32"/>
        </w:rPr>
        <w:t>主要用于第四次全国经济普查、人口抽样调查需要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年共接待国内来访团</w:t>
      </w:r>
      <w:r>
        <w:rPr>
          <w:rFonts w:hint="eastAsia" w:ascii="仿宋_GB2312" w:hAnsi="仿宋_GB2312" w:eastAsia="仿宋_GB2312" w:cs="仿宋_GB2312"/>
          <w:sz w:val="32"/>
          <w:szCs w:val="32"/>
          <w:highlight w:val="none"/>
        </w:rPr>
        <w:t>组</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个、来宾</w:t>
      </w:r>
      <w:r>
        <w:rPr>
          <w:rFonts w:hint="eastAsia" w:ascii="仿宋_GB2312" w:hAnsi="仿宋_GB2312" w:eastAsia="仿宋_GB2312" w:cs="仿宋_GB2312"/>
          <w:sz w:val="32"/>
          <w:szCs w:val="32"/>
          <w:highlight w:val="none"/>
          <w:lang w:val="en-US" w:eastAsia="zh-CN"/>
        </w:rPr>
        <w:t>34</w:t>
      </w:r>
      <w:r>
        <w:rPr>
          <w:rFonts w:hint="eastAsia" w:ascii="仿宋_GB2312" w:hAnsi="仿宋_GB2312" w:eastAsia="仿宋_GB2312" w:cs="仿宋_GB2312"/>
          <w:sz w:val="32"/>
          <w:szCs w:val="32"/>
          <w:highlight w:val="none"/>
        </w:rPr>
        <w:t>人次（</w:t>
      </w:r>
      <w:r>
        <w:rPr>
          <w:rFonts w:hint="eastAsia" w:ascii="仿宋_GB2312" w:hAnsi="仿宋_GB2312" w:eastAsia="仿宋_GB2312" w:cs="仿宋_GB2312"/>
          <w:sz w:val="32"/>
          <w:szCs w:val="32"/>
        </w:rPr>
        <w:t>不包括陪同人员）。</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公务接待费支出决算比</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年度减少0.</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70.59</w:t>
      </w:r>
      <w:r>
        <w:rPr>
          <w:rFonts w:hint="eastAsia" w:ascii="仿宋_GB2312" w:hAnsi="仿宋_GB2312" w:eastAsia="仿宋_GB2312" w:cs="仿宋_GB2312"/>
          <w:sz w:val="32"/>
          <w:szCs w:val="32"/>
        </w:rPr>
        <w:t>%,主要原因是严格执行八项规定，减少公务接待费用。</w:t>
      </w:r>
    </w:p>
    <w:p>
      <w:pPr>
        <w:widowControl/>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八、预算绩效情况说明</w:t>
      </w:r>
    </w:p>
    <w:p>
      <w:pPr>
        <w:widowControl/>
        <w:spacing w:line="60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pPr>
        <w:spacing w:line="60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lang w:val="en-US" w:eastAsia="zh-CN"/>
        </w:rPr>
        <w:t>1、</w:t>
      </w:r>
      <w:r>
        <w:rPr>
          <w:rFonts w:hint="eastAsia" w:ascii="仿宋_GB2312" w:hAnsi="仿宋" w:eastAsia="仿宋_GB2312" w:cs="Times New Roman"/>
          <w:sz w:val="32"/>
          <w:szCs w:val="32"/>
        </w:rPr>
        <w:t>为</w:t>
      </w:r>
      <w:r>
        <w:rPr>
          <w:rFonts w:hint="eastAsia" w:ascii="仿宋_GB2312" w:hAnsi="仿宋" w:eastAsia="仿宋_GB2312" w:cs="Times New Roman"/>
          <w:sz w:val="32"/>
          <w:szCs w:val="32"/>
        </w:rPr>
        <w:t>进一步规范财政资金管理，牢固树立绩效</w:t>
      </w:r>
      <w:r>
        <w:rPr>
          <w:rFonts w:hint="eastAsia" w:ascii="仿宋_GB2312" w:hAnsi="仿宋" w:eastAsia="仿宋_GB2312" w:cs="Times New Roman"/>
          <w:sz w:val="32"/>
          <w:szCs w:val="32"/>
          <w:lang w:eastAsia="zh-CN"/>
        </w:rPr>
        <w:t>管理的</w:t>
      </w:r>
      <w:r>
        <w:rPr>
          <w:rFonts w:hint="eastAsia" w:ascii="仿宋_GB2312" w:hAnsi="仿宋" w:eastAsia="仿宋_GB2312" w:cs="Times New Roman"/>
          <w:sz w:val="32"/>
          <w:szCs w:val="32"/>
        </w:rPr>
        <w:t>概念，强化部门支出责任，提高财政资金使用效益，在全局开展绩效</w:t>
      </w:r>
      <w:r>
        <w:rPr>
          <w:rFonts w:hint="eastAsia" w:ascii="仿宋_GB2312" w:hAnsi="仿宋" w:eastAsia="仿宋_GB2312" w:cs="Times New Roman"/>
          <w:sz w:val="32"/>
          <w:szCs w:val="32"/>
          <w:lang w:eastAsia="zh-CN"/>
        </w:rPr>
        <w:t>管理</w:t>
      </w:r>
      <w:r>
        <w:rPr>
          <w:rFonts w:hint="eastAsia" w:ascii="仿宋_GB2312" w:hAnsi="仿宋" w:eastAsia="仿宋_GB2312" w:cs="Times New Roman"/>
          <w:sz w:val="32"/>
          <w:szCs w:val="32"/>
        </w:rPr>
        <w:t>工作。我单位绩效</w:t>
      </w:r>
      <w:r>
        <w:rPr>
          <w:rFonts w:hint="eastAsia" w:ascii="仿宋_GB2312" w:hAnsi="仿宋" w:eastAsia="仿宋_GB2312" w:cs="Times New Roman"/>
          <w:sz w:val="32"/>
          <w:szCs w:val="32"/>
          <w:lang w:eastAsia="zh-CN"/>
        </w:rPr>
        <w:t>工作开展中我单位</w:t>
      </w:r>
      <w:r>
        <w:rPr>
          <w:rFonts w:hint="eastAsia" w:ascii="仿宋_GB2312" w:hAnsi="仿宋" w:eastAsia="仿宋_GB2312" w:cs="Times New Roman"/>
          <w:sz w:val="32"/>
          <w:szCs w:val="32"/>
        </w:rPr>
        <w:t>以认真贯彻落实《统计法》《统计法实施条例》和中央《关于深化统计管理体制改革提高统计数据真实性的意见》，着力建立稳定的基层统计队伍，进一步夯实基层统计工作为基础，全面提高统计工作质量。以完成领导布置的各项统计调查任务，为党政领导提供优质统计服务功能，充分发挥统计在国民经济发展中的参谋作用为依据。</w:t>
      </w:r>
    </w:p>
    <w:p>
      <w:pPr>
        <w:spacing w:line="600" w:lineRule="exact"/>
        <w:ind w:firstLine="640" w:firstLineChars="200"/>
        <w:rPr>
          <w:rFonts w:hint="eastAsia" w:ascii="仿宋_GB2312" w:hAnsi="楷体" w:eastAsia="仿宋_GB2312"/>
          <w:b/>
          <w:sz w:val="32"/>
          <w:szCs w:val="32"/>
        </w:rPr>
      </w:pPr>
      <w:r>
        <w:rPr>
          <w:rFonts w:hint="eastAsia" w:ascii="仿宋_GB2312" w:hAnsi="楷体" w:eastAsia="仿宋_GB2312"/>
          <w:sz w:val="32"/>
          <w:szCs w:val="32"/>
          <w:lang w:val="en-US" w:eastAsia="zh-CN"/>
        </w:rPr>
        <w:t>2</w:t>
      </w:r>
      <w:r>
        <w:rPr>
          <w:rFonts w:hint="eastAsia" w:ascii="仿宋_GB2312" w:hAnsi="楷体" w:eastAsia="仿宋_GB2312"/>
          <w:sz w:val="32"/>
          <w:szCs w:val="32"/>
        </w:rPr>
        <w:t>、全速推进</w:t>
      </w:r>
      <w:r>
        <w:rPr>
          <w:rFonts w:hint="eastAsia" w:ascii="仿宋_GB2312" w:hAnsi="楷体" w:eastAsia="仿宋_GB2312"/>
          <w:sz w:val="32"/>
          <w:szCs w:val="32"/>
          <w:lang w:eastAsia="zh-CN"/>
        </w:rPr>
        <w:t>各项调查工作</w:t>
      </w:r>
      <w:r>
        <w:rPr>
          <w:rFonts w:hint="eastAsia" w:ascii="仿宋_GB2312" w:hAnsi="楷体" w:eastAsia="仿宋_GB2312"/>
          <w:sz w:val="32"/>
          <w:szCs w:val="32"/>
        </w:rPr>
        <w:t>，</w:t>
      </w:r>
      <w:r>
        <w:rPr>
          <w:rFonts w:hint="eastAsia" w:ascii="仿宋_GB2312" w:hAnsi="仿宋" w:eastAsia="仿宋_GB2312"/>
          <w:sz w:val="32"/>
          <w:szCs w:val="32"/>
        </w:rPr>
        <w:t>加强组织领导，开展业务培训，广泛宣传动员，全面摸底清查，</w:t>
      </w:r>
      <w:r>
        <w:rPr>
          <w:rFonts w:hint="eastAsia" w:ascii="仿宋_GB2312" w:hAnsi="楷体" w:eastAsia="仿宋_GB2312"/>
          <w:sz w:val="32"/>
          <w:szCs w:val="32"/>
        </w:rPr>
        <w:t>全方位做好各类专项调查。</w:t>
      </w:r>
    </w:p>
    <w:p>
      <w:pPr>
        <w:spacing w:line="60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lang w:val="en-US" w:eastAsia="zh-CN"/>
        </w:rPr>
        <w:t>3、</w:t>
      </w:r>
      <w:r>
        <w:rPr>
          <w:rFonts w:hint="eastAsia" w:ascii="仿宋_GB2312" w:hAnsi="仿宋" w:eastAsia="仿宋_GB2312" w:cs="Times New Roman"/>
          <w:sz w:val="32"/>
          <w:szCs w:val="32"/>
        </w:rPr>
        <w:t>我局扎实开展经常性统计调查，完成各项调查任务。圆满完成了农业、工业、建筑业、能源、固定资产投资、房地产、贸易、人口、文化产业、劳动工资、服务业等常规统计调查任务。开展了人口变动抽样调查、投入产出专项调查。围绕产业项目建设、新型工业化、节能降耗等深入实施评价监测，为全面反映我市经济社会发展总体情况提供了数据支撑。多领域开展民意调查，成果广泛运用。积极做好“第七次人口普查”工作，编制经费预算报告，学习普查文件、熟悉普查方案，12月底前完成了人普查长表的行业和职业码编码工作，下一步工作是开展数据改错、数据汇总工作。从履职目标的实现情况来看，部门整体工作完成质量达到了预期指标。统计局服务对象对各项调查及公布数据整体满意。</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cs="Times New Roman"/>
          <w:sz w:val="32"/>
          <w:szCs w:val="32"/>
          <w:lang w:val="en-US" w:eastAsia="zh-CN"/>
        </w:rPr>
        <w:t>4、</w:t>
      </w:r>
      <w:r>
        <w:rPr>
          <w:rFonts w:hint="eastAsia" w:ascii="仿宋_GB2312" w:hAnsi="仿宋" w:eastAsia="仿宋_GB2312" w:cs="Times New Roman"/>
          <w:sz w:val="32"/>
          <w:szCs w:val="32"/>
        </w:rPr>
        <w:t>全面加强国民经济核算今年以来，统计部门一方面提前介入、提早谋划、提前预</w:t>
      </w:r>
      <w:r>
        <w:rPr>
          <w:rFonts w:hint="eastAsia" w:ascii="仿宋_GB2312" w:hAnsi="仿宋" w:eastAsia="仿宋_GB2312"/>
          <w:sz w:val="32"/>
          <w:szCs w:val="32"/>
        </w:rPr>
        <w:t>警，核实最基层数据，在不重不漏的基础上，基本做到了应统尽统。</w:t>
      </w:r>
    </w:p>
    <w:p>
      <w:pPr>
        <w:widowControl/>
        <w:spacing w:line="60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（二）项目绩效自评结果。</w:t>
      </w:r>
    </w:p>
    <w:p>
      <w:pPr>
        <w:spacing w:line="600" w:lineRule="exact"/>
        <w:ind w:firstLine="640" w:firstLineChars="200"/>
        <w:jc w:val="left"/>
        <w:rPr>
          <w:rFonts w:hint="eastAsia" w:ascii="仿宋_GB2312" w:hAnsi="宋体" w:eastAsia="仿宋_GB2312" w:cs="Courier New"/>
          <w:color w:val="000000"/>
          <w:sz w:val="32"/>
          <w:szCs w:val="32"/>
        </w:rPr>
      </w:pPr>
      <w:r>
        <w:rPr>
          <w:rFonts w:hint="eastAsia" w:ascii="仿宋_GB2312" w:hAnsi="宋体" w:eastAsia="仿宋_GB2312" w:cs="Courier New"/>
          <w:color w:val="000000"/>
          <w:sz w:val="32"/>
          <w:szCs w:val="32"/>
        </w:rPr>
        <w:t>根据《项目支出绩效自评表》进行自我评价，评价得分96分。通过对项目的工作成果认真分析对比，专项业务项目实施工作成果均达到预期效果，能顺利实现预期工作目标，完成绩效总目标和年度绩效目标。</w:t>
      </w:r>
    </w:p>
    <w:p>
      <w:pPr>
        <w:numPr>
          <w:ilvl w:val="0"/>
          <w:numId w:val="2"/>
        </w:numPr>
        <w:spacing w:line="600" w:lineRule="exact"/>
        <w:ind w:firstLine="643" w:firstLineChars="200"/>
        <w:jc w:val="left"/>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以单位为主体开展的重点绩效评价结果。</w:t>
      </w:r>
    </w:p>
    <w:p>
      <w:pPr>
        <w:spacing w:line="600" w:lineRule="exact"/>
        <w:ind w:firstLine="640" w:firstLineChars="200"/>
        <w:jc w:val="left"/>
        <w:rPr>
          <w:rFonts w:hint="eastAsia" w:ascii="仿宋_GB2312" w:hAnsi="宋体" w:eastAsia="仿宋_GB2312" w:cs="Courier New"/>
          <w:color w:val="000000"/>
          <w:sz w:val="32"/>
          <w:szCs w:val="32"/>
        </w:rPr>
      </w:pPr>
      <w:r>
        <w:rPr>
          <w:rFonts w:hint="eastAsia" w:ascii="仿宋_GB2312" w:hAnsi="宋体" w:eastAsia="仿宋_GB2312" w:cs="Courier New"/>
          <w:color w:val="000000"/>
          <w:sz w:val="32"/>
          <w:szCs w:val="32"/>
        </w:rPr>
        <w:t>无</w:t>
      </w:r>
    </w:p>
    <w:p>
      <w:pPr>
        <w:widowControl/>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九、政府性基金预算财政拨款支出决算情况说明</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年度政府性基金预算财政拨款支出年初预算为0万元，支出决算为0万元，完成年初预算的0%。</w:t>
      </w:r>
      <w:r>
        <w:rPr>
          <w:rFonts w:hint="eastAsia" w:ascii="仿宋_GB2312" w:hAnsi="仿宋_GB2312" w:eastAsia="仿宋_GB2312" w:cs="仿宋_GB2312"/>
          <w:sz w:val="32"/>
          <w:szCs w:val="32"/>
          <w:lang w:val="zh-CN"/>
        </w:rPr>
        <w:t>我部门</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zh-CN"/>
        </w:rPr>
        <w:t>没有政府性基金收入，也没有使用政府性基金安排的支出。</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十、机关运行经费支出情况说明</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年度机关运行经费初预算为</w:t>
      </w:r>
      <w:r>
        <w:rPr>
          <w:rFonts w:hint="eastAsia" w:ascii="仿宋_GB2312" w:hAnsi="仿宋_GB2312" w:eastAsia="仿宋_GB2312" w:cs="仿宋_GB2312"/>
          <w:sz w:val="32"/>
          <w:szCs w:val="32"/>
          <w:lang w:val="en-US" w:eastAsia="zh-CN"/>
        </w:rPr>
        <w:t>126</w:t>
      </w:r>
      <w:r>
        <w:rPr>
          <w:rFonts w:hint="eastAsia" w:ascii="仿宋_GB2312" w:hAnsi="仿宋_GB2312" w:eastAsia="仿宋_GB2312" w:cs="仿宋_GB2312"/>
          <w:sz w:val="32"/>
          <w:szCs w:val="32"/>
        </w:rPr>
        <w:t>万元，支出决算为128.28元，完成年初预算的</w:t>
      </w:r>
      <w:r>
        <w:rPr>
          <w:rFonts w:hint="eastAsia" w:ascii="仿宋_GB2312" w:hAnsi="仿宋_GB2312" w:eastAsia="仿宋_GB2312" w:cs="仿宋_GB2312"/>
          <w:sz w:val="32"/>
          <w:szCs w:val="32"/>
          <w:lang w:val="en-US" w:eastAsia="zh-CN"/>
        </w:rPr>
        <w:t>101.81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决算数与年初预算数存在差异的主要原因是调查任务加重，业务活动经费支出增加。</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十一、政府采购支出情况说明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十二、国有资产占用情况说明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期末，我部门共有车辆0辆，其中：机要通信用车0辆、应急保障车0辆、执法执勤用车0辆、特种专业技术用车0辆、离退休干部用车0辆、其他用车0辆；单位价值50万元以上通用设备0台（套），单位价值100万元以上专用设备0台（套）。</w:t>
      </w:r>
    </w:p>
    <w:p>
      <w:pPr>
        <w:widowControl/>
        <w:jc w:val="left"/>
        <w:rPr>
          <w:rFonts w:hint="eastAsia" w:ascii="楷体_GB2312" w:hAnsi="楷体_GB2312" w:eastAsia="楷体_GB2312" w:cs="楷体_GB2312"/>
          <w:sz w:val="32"/>
          <w:szCs w:val="32"/>
        </w:rPr>
        <w:sectPr>
          <w:pgSz w:w="11906" w:h="16838"/>
          <w:pgMar w:top="1440" w:right="1800" w:bottom="1440" w:left="1800" w:header="720" w:footer="720" w:gutter="0"/>
          <w:pgNumType w:fmt="numberInDash"/>
          <w:cols w:space="720" w:num="1"/>
          <w:docGrid w:type="lines" w:linePitch="312"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第四部分  名词解释</w:t>
      </w:r>
    </w:p>
    <w:p>
      <w:pPr>
        <w:jc w:val="center"/>
        <w:rPr>
          <w:rFonts w:hint="eastAsia" w:ascii="黑体" w:hAnsi="黑体" w:eastAsia="黑体" w:cs="黑体"/>
          <w:sz w:val="48"/>
          <w:szCs w:val="48"/>
        </w:rPr>
      </w:pPr>
    </w:p>
    <w:p>
      <w:pPr>
        <w:jc w:val="center"/>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二、其他收入：单位取得的除“财政拨款收入”、“事业收入”、“上级补助收入”、“附属单位上缴收入”、“经营收入”以外的各项收入。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十一、年末结余：本年度或以前年度预算安排，已执行完毕或因客观条件发生变化无法按原预算安排实施，不需要再使用或无法按原预算安排继续使用的资金。</w:t>
      </w:r>
    </w:p>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- 25 -</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- 25 -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- 24 -</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- 24 -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69776"/>
    <w:multiLevelType w:val="singleLevel"/>
    <w:tmpl w:val="B7569776"/>
    <w:lvl w:ilvl="0" w:tentative="0">
      <w:start w:val="3"/>
      <w:numFmt w:val="chineseCounting"/>
      <w:suff w:val="nothing"/>
      <w:lvlText w:val="（%1）"/>
      <w:lvlJc w:val="left"/>
      <w:rPr>
        <w:rFonts w:hint="eastAsia"/>
      </w:rPr>
    </w:lvl>
  </w:abstractNum>
  <w:abstractNum w:abstractNumId="1">
    <w:nsid w:val="5971BE17"/>
    <w:multiLevelType w:val="singleLevel"/>
    <w:tmpl w:val="5971BE17"/>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1NTFjMTMzODA1MTBhNjA2OWY4Mzk3YzVhOGQ1MGYifQ=="/>
  </w:docVars>
  <w:rsids>
    <w:rsidRoot w:val="7F4874EB"/>
    <w:rsid w:val="07EC23CA"/>
    <w:rsid w:val="4D4A6528"/>
    <w:rsid w:val="54EE49D6"/>
    <w:rsid w:val="775B59FE"/>
    <w:rsid w:val="7F487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6">
    <w:name w:val="font11"/>
    <w:qFormat/>
    <w:uiPriority w:val="0"/>
    <w:rPr>
      <w:rFonts w:hint="eastAsia" w:ascii="宋体" w:hAnsi="宋体" w:eastAsia="宋体" w:cs="宋体"/>
      <w:color w:val="000000"/>
      <w:sz w:val="20"/>
      <w:szCs w:val="20"/>
      <w:u w:val="none"/>
    </w:rPr>
  </w:style>
  <w:style w:type="character" w:customStyle="1" w:styleId="7">
    <w:name w:val="font01"/>
    <w:qFormat/>
    <w:uiPriority w:val="0"/>
    <w:rPr>
      <w:rFonts w:hint="eastAsia" w:ascii="宋体" w:hAnsi="宋体" w:eastAsia="宋体" w:cs="宋体"/>
      <w:color w:val="000000"/>
      <w:sz w:val="22"/>
      <w:szCs w:val="22"/>
      <w:u w:val="none"/>
    </w:rPr>
  </w:style>
  <w:style w:type="character" w:customStyle="1" w:styleId="8">
    <w:name w:val="font51"/>
    <w:qFormat/>
    <w:uiPriority w:val="0"/>
    <w:rPr>
      <w:rFonts w:hint="eastAsia" w:ascii="宋体" w:hAnsi="宋体" w:eastAsia="宋体" w:cs="宋体"/>
      <w:color w:val="000000"/>
      <w:sz w:val="24"/>
      <w:szCs w:val="24"/>
      <w:u w:val="none"/>
    </w:rPr>
  </w:style>
  <w:style w:type="character" w:customStyle="1" w:styleId="9">
    <w:name w:val="font4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7950</Words>
  <Characters>9507</Characters>
  <Lines>0</Lines>
  <Paragraphs>0</Paragraphs>
  <TotalTime>4</TotalTime>
  <ScaleCrop>false</ScaleCrop>
  <LinksUpToDate>false</LinksUpToDate>
  <CharactersWithSpaces>9835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2021-09-03T01:56:00Z</dcterms:created>
  <dc:creator>^pearl^</dc:creator>
  <cp:lastModifiedBy>^pearl^</cp:lastModifiedBy>
  <dcterms:modified xsi:type="dcterms:W3CDTF">2022-09-08T07:40:11Z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049D33CA08934FA8988025BA5C4245E6</vt:lpwstr>
  </property>
</Properties>
</file>