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义马市总工会</w:t>
      </w: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义马市总工会</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rPr>
          <w:rFonts w:hint="eastAsia" w:ascii="黑体" w:hAnsi="宋体" w:eastAsia="黑体" w:cs="宋体"/>
          <w:kern w:val="0"/>
          <w:sz w:val="28"/>
          <w:szCs w:val="28"/>
        </w:rPr>
      </w:pPr>
      <w:r>
        <w:rPr>
          <w:rFonts w:hint="eastAsia" w:ascii="黑体" w:hAnsi="黑体" w:eastAsia="黑体" w:cs="黑体"/>
          <w:sz w:val="48"/>
          <w:szCs w:val="48"/>
        </w:rPr>
        <w:t>第一部分　义马市总工会概况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lnNumType w:countBy="0" w:distance="360"/>
          <w:pgNumType w:fmt="numberInDash"/>
          <w:cols w:space="720" w:num="1"/>
          <w:docGrid w:type="lines" w:linePitch="312" w:charSpace="0"/>
        </w:sectPr>
      </w:pP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一、部门职责</w:t>
      </w:r>
    </w:p>
    <w:p>
      <w:pPr>
        <w:autoSpaceDE w:val="0"/>
        <w:autoSpaceDN w:val="0"/>
        <w:adjustRightInd w:val="0"/>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中国工会是中国共产党领导的职工自愿结合的工人阶级群众组织，是党联系职工群众的桥梁和纽带，是国家政权的重要社会支柱，是会员和职工利益的代表。</w:t>
      </w:r>
    </w:p>
    <w:p>
      <w:pPr>
        <w:autoSpaceDE w:val="0"/>
        <w:autoSpaceDN w:val="0"/>
        <w:adjustRightInd w:val="0"/>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义马市总工会是全市各级工会的领导机关，是市委市政府联系职工群众的桥梁和纽带。其主要职责是：</w:t>
      </w:r>
    </w:p>
    <w:p>
      <w:pPr>
        <w:autoSpaceDE w:val="0"/>
        <w:autoSpaceDN w:val="0"/>
        <w:adjustRightInd w:val="0"/>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（一）认真贯彻执行党的路线、方针、政策和上级工会工作的指导思想，围绕市委和三门峡市工作的中心任务，确定我市工会工作的思路和任务，指导全市工会工作，不断进行工会理论政策的研究和探讨。</w:t>
      </w:r>
    </w:p>
    <w:p>
      <w:pPr>
        <w:autoSpaceDE w:val="0"/>
        <w:autoSpaceDN w:val="0"/>
        <w:adjustRightInd w:val="0"/>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二）依照法律和章程的规定，组织和指导全市各级工会履行“维护、建设、参与、教育”等社会职能，开展工会各项业务工作，根据基层工会的要求，解决他们在工作中需要由市总工会与有关方面协商解决的问题。</w:t>
      </w:r>
    </w:p>
    <w:p>
      <w:pPr>
        <w:autoSpaceDE w:val="0"/>
        <w:autoSpaceDN w:val="0"/>
        <w:adjustRightInd w:val="0"/>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（三）指导全市各级工会组织的自身改革和建设，监督检查《工会法》、《中国工会章程》、《河南省工会工作条理》及有关法律法规的贯彻执行，督促落实工会的各项组织制度和民主制度。</w:t>
      </w:r>
    </w:p>
    <w:p>
      <w:pPr>
        <w:autoSpaceDE w:val="0"/>
        <w:autoSpaceDN w:val="0"/>
        <w:adjustRightInd w:val="0"/>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（四）参与全国、省、地级劳模的推荐和市劳模的评选工作，管理义马市的全国、省、地、市劳动模范。</w:t>
      </w:r>
    </w:p>
    <w:p>
      <w:pPr>
        <w:autoSpaceDE w:val="0"/>
        <w:autoSpaceDN w:val="0"/>
        <w:adjustRightInd w:val="0"/>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（五）负责义马市工会经费的收缴、管理、审查、审计工作；研究制订兴办和管理工会企、事业的有关政策和规定，负责工会企、事业发展的审批、指导、协调工作。</w:t>
      </w:r>
    </w:p>
    <w:p>
      <w:pPr>
        <w:autoSpaceDE w:val="0"/>
        <w:autoSpaceDN w:val="0"/>
        <w:adjustRightInd w:val="0"/>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（六）负责指导协调群众生产工作，参与劳动保护政策制定和监督执行，代表和维护基层工会组织及职工群众的合法权益。</w:t>
      </w:r>
    </w:p>
    <w:p>
      <w:pPr>
        <w:autoSpaceDE w:val="0"/>
        <w:autoSpaceDN w:val="0"/>
        <w:adjustRightInd w:val="0"/>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（七）承担上级工会和市委交办的有关事项。</w:t>
      </w: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义马市总工会机关（行政编制）内设三个部室，包括：办公室、基层工作部、劳动和经济工作部。另下属一个全供事业单位、三个自收自支事业单位。工会现有全供在职职工12人、退休职工4人，需发放遗属生活困难补助的1人。</w:t>
      </w:r>
    </w:p>
    <w:p>
      <w:pPr>
        <w:widowControl/>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从决算单位构成看，纳入义马市总工会202</w:t>
      </w:r>
      <w:r>
        <w:rPr>
          <w:rFonts w:hint="eastAsia" w:ascii="仿宋_GB2312" w:eastAsia="仿宋_GB2312" w:cs="仿宋"/>
          <w:sz w:val="32"/>
          <w:szCs w:val="32"/>
          <w:lang w:val="en-US" w:eastAsia="zh-CN"/>
        </w:rPr>
        <w:t>1</w:t>
      </w:r>
      <w:r>
        <w:rPr>
          <w:rFonts w:hint="eastAsia" w:ascii="仿宋_GB2312" w:eastAsia="仿宋_GB2312" w:cs="仿宋"/>
          <w:sz w:val="32"/>
          <w:szCs w:val="32"/>
        </w:rPr>
        <w:t>年度部门决算编制范围的单位是：工会机关（含全供事业单位）本级决算。</w:t>
      </w:r>
    </w:p>
    <w:p>
      <w:pPr>
        <w:widowControl/>
        <w:ind w:firstLine="640" w:firstLineChars="200"/>
        <w:jc w:val="left"/>
        <w:rPr>
          <w:rFonts w:hint="eastAsia" w:ascii="仿宋_GB2312" w:eastAsia="仿宋_GB2312" w:cs="仿宋"/>
          <w:sz w:val="32"/>
          <w:szCs w:val="32"/>
        </w:rPr>
      </w:pPr>
      <w:r>
        <w:rPr>
          <w:rFonts w:hint="eastAsia" w:ascii="仿宋_GB2312" w:eastAsia="仿宋_GB2312" w:cs="仿宋"/>
          <w:sz w:val="32"/>
          <w:szCs w:val="32"/>
        </w:rPr>
        <w:t>根据《河南省工会条例》的第三十七条“各级地方工会和编制列在地方工会的产业工会工作人员的养老、医疗等社会保险费用和住房公积金，除应当由个人负担的部分外，其余费用由同级财政负担；离休、退休人员的费用由同级财政负担，其待遇与国家机关离休、退休人员同等对待”的规定，财政负担义马市总工会在职职工的医疗保险金和住房公积金（应该单位缴纳的部分）以及退休职工工资、遗属生活困难补助。根据《中华全国总工会关于困难职工帮扶中心专项资金使用管理办法（暂行）》（总工发[2009]36号）等文件规定，本级财政需配套专项用于帮扶中心开展帮扶工作的资金。</w:t>
      </w: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widowControl/>
        <w:ind w:firstLine="640" w:firstLineChars="200"/>
        <w:jc w:val="left"/>
        <w:rPr>
          <w:rFonts w:hint="eastAsia" w:ascii="仿宋" w:eastAsia="仿宋" w:cs="仿宋"/>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1</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autoSpaceDE w:val="0"/>
        <w:autoSpaceDN w:val="0"/>
        <w:adjustRightInd w:val="0"/>
        <w:jc w:val="left"/>
        <w:rPr>
          <w:rFonts w:hint="eastAsia" w:ascii="宋体" w:cs="宋体"/>
          <w:kern w:val="0"/>
          <w:sz w:val="32"/>
          <w:szCs w:val="32"/>
          <w:lang w:val="zh-CN"/>
        </w:rPr>
      </w:pPr>
    </w:p>
    <w:p>
      <w:pPr>
        <w:autoSpaceDE w:val="0"/>
        <w:autoSpaceDN w:val="0"/>
        <w:adjustRightInd w:val="0"/>
        <w:jc w:val="left"/>
        <w:rPr>
          <w:rFonts w:hint="eastAsia" w:ascii="宋体" w:cs="宋体"/>
          <w:kern w:val="0"/>
          <w:sz w:val="32"/>
          <w:szCs w:val="32"/>
          <w:lang w:val="zh-CN"/>
        </w:rPr>
      </w:pPr>
    </w:p>
    <w:p>
      <w:pPr>
        <w:autoSpaceDE w:val="0"/>
        <w:autoSpaceDN w:val="0"/>
        <w:adjustRightInd w:val="0"/>
        <w:jc w:val="left"/>
        <w:rPr>
          <w:rFonts w:hint="eastAsia" w:ascii="宋体" w:cs="宋体"/>
          <w:kern w:val="0"/>
          <w:sz w:val="32"/>
          <w:szCs w:val="32"/>
          <w:lang w:val="zh-CN"/>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义马市总工会</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49.54</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45.61</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w:t>
            </w:r>
            <w:r>
              <w:rPr>
                <w:rFonts w:ascii="宋体" w:hAnsi="宋体" w:cs="宋体"/>
                <w:color w:val="000000"/>
                <w:kern w:val="0"/>
                <w:sz w:val="20"/>
                <w:szCs w:val="20"/>
                <w:lang w:bidi="ar"/>
              </w:rPr>
              <w:t>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三、国有资本</w:t>
            </w:r>
            <w:r>
              <w:rPr>
                <w:rFonts w:ascii="宋体" w:hAnsi="宋体" w:cs="宋体"/>
                <w:color w:val="000000"/>
                <w:kern w:val="0"/>
                <w:sz w:val="20"/>
                <w:szCs w:val="20"/>
                <w:lang w:bidi="ar"/>
              </w:rPr>
              <w:t>经营预算财政拨款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rPr>
              <w:t>38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rPr>
              <w:t>39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lang w:val="en-US" w:eastAsia="zh-CN"/>
              </w:rPr>
              <w:t>3.93</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49.54</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49.54</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516"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49.54</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49.54</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1027"/>
        <w:gridCol w:w="59"/>
        <w:gridCol w:w="3"/>
        <w:gridCol w:w="1268"/>
        <w:gridCol w:w="1553"/>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7"/>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7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7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义马市总工会</w:t>
            </w: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357"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357"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2357"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49.54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49.54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9"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45.61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45.61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9"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20129</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群众团体事务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45.61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45.61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9"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2012901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华文中宋" w:hAnsi="华文中宋" w:eastAsia="华文中宋" w:cs="华文中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9"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2012999</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44.72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44.72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9"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3.93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71"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17"/>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义马市总工会</w:t>
            </w: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49.54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49.54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45.61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45.61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20129</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群众团体事务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45.61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45.61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2012901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0.89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0.89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2012999</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44.72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44.72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3417"/>
        <w:gridCol w:w="1297"/>
        <w:gridCol w:w="1210"/>
        <w:gridCol w:w="2596"/>
        <w:gridCol w:w="993"/>
        <w:gridCol w:w="567"/>
        <w:gridCol w:w="1275"/>
        <w:gridCol w:w="617"/>
        <w:gridCol w:w="943"/>
        <w:gridCol w:w="1058"/>
      </w:tblGrid>
      <w:tr>
        <w:tblPrEx>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c>
          <w:tcPr>
            <w:tcW w:w="1058" w:type="dxa"/>
            <w:tcBorders>
              <w:top w:val="nil"/>
              <w:left w:val="nil"/>
              <w:bottom w:val="nil"/>
              <w:right w:val="nil"/>
            </w:tcBorders>
            <w:noWrap w:val="0"/>
            <w:vAlign w:val="top"/>
          </w:tcPr>
          <w:p>
            <w:pPr>
              <w:widowControl/>
              <w:jc w:val="center"/>
              <w:textAlignment w:val="center"/>
              <w:rPr>
                <w:rFonts w:hint="eastAsia" w:ascii="华文中宋" w:hAnsi="华文中宋" w:eastAsia="华文中宋" w:cs="华文中宋"/>
                <w:color w:val="000000"/>
                <w:kern w:val="0"/>
                <w:sz w:val="32"/>
                <w:szCs w:val="32"/>
                <w:lang w:bidi="ar"/>
              </w:rPr>
            </w:pPr>
          </w:p>
        </w:tc>
      </w:tr>
      <w:tr>
        <w:tblPrEx>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6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义马市总工会</w:t>
            </w: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6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49"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56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60"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pPr>
              <w:widowControl/>
              <w:jc w:val="center"/>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5</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49.54</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45.61</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45.61</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rPr>
              <w:t>八、社会保障和就业支出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lang w:val="en-US" w:eastAsia="zh-CN"/>
              </w:rPr>
              <w:t>21</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lang w:val="en-US" w:eastAsia="zh-CN"/>
              </w:rPr>
              <w:t>3.93</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3.93</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567"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567"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49.54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49.54</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67"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567"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567"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567"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49.54</w:t>
            </w:r>
          </w:p>
        </w:tc>
        <w:tc>
          <w:tcPr>
            <w:tcW w:w="2596"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567"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49.54</w:t>
            </w:r>
          </w:p>
        </w:tc>
        <w:tc>
          <w:tcPr>
            <w:tcW w:w="1275"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49.54</w:t>
            </w:r>
          </w:p>
        </w:tc>
        <w:tc>
          <w:tcPr>
            <w:tcW w:w="1560"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p>
        </w:tc>
        <w:tc>
          <w:tcPr>
            <w:tcW w:w="1058" w:type="dxa"/>
            <w:tcBorders>
              <w:top w:val="single" w:color="000000" w:sz="4" w:space="0"/>
              <w:left w:val="nil"/>
              <w:bottom w:val="single" w:color="000000" w:sz="8"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noWrap w:val="0"/>
            <w:vAlign w:val="top"/>
          </w:tcPr>
          <w:p>
            <w:pPr>
              <w:widowControl/>
              <w:jc w:val="left"/>
              <w:textAlignment w:val="center"/>
              <w:rPr>
                <w:rFonts w:hint="eastAsia" w:ascii="宋体" w:hAnsi="宋体" w:cs="宋体"/>
                <w:color w:val="000000"/>
                <w:kern w:val="0"/>
                <w:sz w:val="20"/>
                <w:szCs w:val="20"/>
                <w:lang w:bidi="ar"/>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15"/>
                <w:rFonts w:hint="default"/>
                <w:lang w:bidi="ar"/>
              </w:rPr>
              <w:t>5表</w:t>
            </w:r>
          </w:p>
        </w:tc>
      </w:tr>
      <w:tr>
        <w:tblPrEx>
          <w:tblCellMar>
            <w:top w:w="0" w:type="dxa"/>
            <w:left w:w="0" w:type="dxa"/>
            <w:bottom w:w="0" w:type="dxa"/>
            <w:right w:w="0" w:type="dxa"/>
          </w:tblCellMar>
        </w:tblPrEx>
        <w:trPr>
          <w:trHeight w:val="300" w:hRule="atLeast"/>
        </w:trPr>
        <w:tc>
          <w:tcPr>
            <w:tcW w:w="3639"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义马市总工会</w:t>
            </w: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11"/>
                <w:rFonts w:hint="default"/>
                <w:sz w:val="20"/>
                <w:szCs w:val="20"/>
                <w:lang w:bidi="ar"/>
              </w:rPr>
              <w:t xml:space="preserve">   </w:t>
            </w:r>
            <w:r>
              <w:rPr>
                <w:rStyle w:val="14"/>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49.54</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49.54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45.61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45.61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20129</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群众团体事务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45.61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45.61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2012901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0.89</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0.89</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2012999</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44.72</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44.72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3.93</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3.93</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3.93</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3.93</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3.93</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3.93</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1008" w:type="dxa"/>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宋体" w:hAnsi="宋体" w:cs="宋体"/>
                <w:color w:val="000000"/>
                <w:kern w:val="0"/>
                <w:sz w:val="20"/>
                <w:szCs w:val="20"/>
                <w:lang w:bidi="ar"/>
              </w:rPr>
              <w:t>部门</w:t>
            </w:r>
            <w:r>
              <w:rPr>
                <w:rFonts w:ascii="Arial" w:hAnsi="Arial" w:cs="Arial"/>
                <w:color w:val="000000"/>
                <w:kern w:val="0"/>
                <w:sz w:val="20"/>
                <w:szCs w:val="20"/>
                <w:lang w:bidi="ar"/>
              </w:rPr>
              <w:t>：</w:t>
            </w:r>
          </w:p>
        </w:tc>
        <w:tc>
          <w:tcPr>
            <w:tcW w:w="278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hint="eastAsia" w:ascii="宋体" w:hAnsi="宋体" w:cs="宋体"/>
                <w:color w:val="000000"/>
                <w:kern w:val="0"/>
                <w:sz w:val="20"/>
                <w:szCs w:val="20"/>
                <w:lang w:eastAsia="zh-CN" w:bidi="ar"/>
              </w:rPr>
              <w:t>义马市总工会</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22.59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22.14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2.00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3.78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4.54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4.11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8.15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4.82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4.25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0.57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4.14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27.41 </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22.14</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义马市总工会</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7"/>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6"/>
        <w:tblW w:w="14018" w:type="dxa"/>
        <w:tblInd w:w="0" w:type="dxa"/>
        <w:tblLayout w:type="fixed"/>
        <w:tblCellMar>
          <w:top w:w="0" w:type="dxa"/>
          <w:left w:w="0" w:type="dxa"/>
          <w:bottom w:w="0" w:type="dxa"/>
          <w:right w:w="0" w:type="dxa"/>
        </w:tblCellMar>
      </w:tblPr>
      <w:tblGrid>
        <w:gridCol w:w="612"/>
        <w:gridCol w:w="536"/>
        <w:gridCol w:w="1276"/>
        <w:gridCol w:w="1926"/>
        <w:gridCol w:w="30"/>
        <w:gridCol w:w="1896"/>
        <w:gridCol w:w="30"/>
        <w:gridCol w:w="1896"/>
        <w:gridCol w:w="30"/>
        <w:gridCol w:w="1897"/>
        <w:gridCol w:w="30"/>
        <w:gridCol w:w="1896"/>
        <w:gridCol w:w="30"/>
        <w:gridCol w:w="1903"/>
        <w:gridCol w:w="30"/>
      </w:tblGrid>
      <w:tr>
        <w:tblPrEx>
          <w:tblCellMar>
            <w:top w:w="0" w:type="dxa"/>
            <w:left w:w="0" w:type="dxa"/>
            <w:bottom w:w="0" w:type="dxa"/>
            <w:right w:w="0" w:type="dxa"/>
          </w:tblCellMar>
        </w:tblPrEx>
        <w:trPr>
          <w:gridAfter w:val="1"/>
          <w:wAfter w:w="30" w:type="dxa"/>
          <w:trHeight w:val="600" w:hRule="atLeast"/>
        </w:trPr>
        <w:tc>
          <w:tcPr>
            <w:tcW w:w="13988" w:type="dxa"/>
            <w:gridSpan w:val="14"/>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4380" w:type="dxa"/>
            <w:gridSpan w:val="5"/>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义马市总工会</w:t>
            </w: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30" w:type="dxa"/>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6"/>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gridAfter w:val="1"/>
          <w:wAfter w:w="30" w:type="dxa"/>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gridSpan w:val="2"/>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30" w:type="dxa"/>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645" w:hRule="atLeast"/>
        </w:trPr>
        <w:tc>
          <w:tcPr>
            <w:tcW w:w="13988" w:type="dxa"/>
            <w:gridSpan w:val="14"/>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left"/>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c>
      </w:tr>
    </w:tbl>
    <w:p>
      <w:pPr>
        <w:widowControl/>
        <w:spacing w:line="590" w:lineRule="exact"/>
        <w:jc w:val="lef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spacing w:line="590" w:lineRule="exact"/>
        <w:ind w:firstLine="640"/>
        <w:rPr>
          <w:rFonts w:hint="default" w:eastAsia="Times New Roman"/>
          <w:sz w:val="32"/>
          <w:szCs w:val="24"/>
        </w:rPr>
      </w:pPr>
      <w:r>
        <w:rPr>
          <w:rFonts w:hint="eastAsia" w:ascii="黑体" w:hAnsi="黑体" w:eastAsia="黑体"/>
          <w:sz w:val="32"/>
          <w:szCs w:val="24"/>
        </w:rPr>
        <w:t>一、收入支出决算总体情况说明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rPr>
        <w:t>2021年度收、支总计均为49.54万元。与上年度相比，收、支总计各增加</w:t>
      </w:r>
      <w:r>
        <w:rPr>
          <w:rFonts w:hint="eastAsia" w:ascii="仿宋_GB2312" w:hAnsi="仿宋_GB2312" w:eastAsia="仿宋_GB2312"/>
          <w:sz w:val="32"/>
          <w:szCs w:val="24"/>
          <w:lang w:val="en-US" w:eastAsia="zh-CN"/>
        </w:rPr>
        <w:t>16.35</w:t>
      </w:r>
      <w:r>
        <w:rPr>
          <w:rFonts w:hint="eastAsia" w:ascii="仿宋_GB2312" w:hAnsi="仿宋_GB2312" w:eastAsia="仿宋_GB2312"/>
          <w:sz w:val="32"/>
          <w:szCs w:val="24"/>
        </w:rPr>
        <w:t>万元，增长</w:t>
      </w:r>
      <w:r>
        <w:rPr>
          <w:rFonts w:hint="eastAsia" w:ascii="仿宋_GB2312" w:hAnsi="仿宋_GB2312" w:eastAsia="仿宋_GB2312"/>
          <w:sz w:val="32"/>
          <w:szCs w:val="24"/>
          <w:lang w:val="en-US" w:eastAsia="zh-CN"/>
        </w:rPr>
        <w:t>49.26</w:t>
      </w:r>
      <w:r>
        <w:rPr>
          <w:rFonts w:hint="eastAsia" w:ascii="仿宋_GB2312" w:hAnsi="仿宋_GB2312" w:eastAsia="仿宋_GB2312"/>
          <w:sz w:val="32"/>
          <w:szCs w:val="24"/>
        </w:rPr>
        <w:t>%。主要原因是人员工资及五险一金增加。</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二、收入决算情况说明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2021年度收入合计49.54万元，其中：财政拨款收入49.54万元，占100%；上级补助收入0万元，占0%；事业收入0万元，占0%；经营收入0万元，占0%；附属单位上缴收入0万元，占0%；其他收入0万元，占0%。</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三、支出决算情况说明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2021年度支出合计49.54万元，其中：基本支出49.54万元，占100%；项目支出0万元，占0%；上缴上级支出0万元，占0%；经营支出0万元，占0%；对附属单位补助支出0万元，占0%。</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四、财政拨款收入支出决算总体情况说明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2021年度财政拨款收、支总计均为49.54万元。与上年度相比，财政拨款收、支总计各增加</w:t>
      </w:r>
      <w:r>
        <w:rPr>
          <w:rFonts w:hint="eastAsia" w:ascii="仿宋_GB2312" w:hAnsi="仿宋_GB2312" w:eastAsia="仿宋_GB2312"/>
          <w:sz w:val="32"/>
          <w:szCs w:val="24"/>
          <w:lang w:val="en-US" w:eastAsia="zh-CN"/>
        </w:rPr>
        <w:t>16.35</w:t>
      </w:r>
      <w:r>
        <w:rPr>
          <w:rFonts w:hint="eastAsia" w:ascii="仿宋_GB2312" w:hAnsi="仿宋_GB2312" w:eastAsia="仿宋_GB2312"/>
          <w:sz w:val="32"/>
          <w:szCs w:val="24"/>
          <w:lang w:val="en-US"/>
        </w:rPr>
        <w:t>万元，增长</w:t>
      </w:r>
      <w:r>
        <w:rPr>
          <w:rFonts w:hint="eastAsia" w:ascii="仿宋_GB2312" w:hAnsi="仿宋_GB2312" w:eastAsia="仿宋_GB2312"/>
          <w:sz w:val="32"/>
          <w:szCs w:val="24"/>
          <w:lang w:val="en-US" w:eastAsia="zh-CN"/>
        </w:rPr>
        <w:t>49.26</w:t>
      </w:r>
      <w:r>
        <w:rPr>
          <w:rFonts w:hint="eastAsia" w:ascii="仿宋_GB2312" w:hAnsi="仿宋_GB2312" w:eastAsia="仿宋_GB2312"/>
          <w:sz w:val="32"/>
          <w:szCs w:val="24"/>
          <w:lang w:val="en-US"/>
        </w:rPr>
        <w:t>%。主要原因是人员工资及五险一金增加。</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五、一般公共预算财政拨款支出决算情况说明</w:t>
      </w:r>
    </w:p>
    <w:p>
      <w:pPr>
        <w:spacing w:line="590" w:lineRule="exact"/>
        <w:ind w:firstLine="640"/>
        <w:rPr>
          <w:rFonts w:hint="default" w:eastAsia="Times New Roman"/>
          <w:b/>
          <w:sz w:val="32"/>
          <w:szCs w:val="24"/>
          <w:lang w:val="en-US"/>
        </w:rPr>
      </w:pPr>
      <w:r>
        <w:rPr>
          <w:rFonts w:hint="eastAsia" w:ascii="楷体_GB2312" w:hAnsi="楷体_GB2312" w:eastAsia="楷体_GB2312"/>
          <w:b/>
          <w:sz w:val="32"/>
          <w:szCs w:val="24"/>
          <w:lang w:val="en-US"/>
        </w:rPr>
        <w:t>（一）总体情况。</w:t>
      </w:r>
    </w:p>
    <w:p>
      <w:pPr>
        <w:jc w:val="left"/>
        <w:rPr>
          <w:rFonts w:hint="eastAsia" w:ascii="宋体" w:hAnsi="宋体"/>
          <w:kern w:val="0"/>
          <w:sz w:val="18"/>
          <w:szCs w:val="24"/>
          <w:lang w:val="zh-CN"/>
        </w:rPr>
      </w:pPr>
      <w:r>
        <w:rPr>
          <w:rFonts w:hint="eastAsia" w:ascii="仿宋_GB2312" w:hAnsi="仿宋_GB2312" w:eastAsia="仿宋_GB2312"/>
          <w:sz w:val="32"/>
          <w:szCs w:val="24"/>
          <w:lang w:val="en-US"/>
        </w:rPr>
        <w:t xml:space="preserve">    2021年度一般公共预算财政拨款支出49.54万元，占支出合计的100%。与上年度相比，一般公共预算财政拨款支出增加</w:t>
      </w:r>
      <w:r>
        <w:rPr>
          <w:rFonts w:hint="eastAsia" w:ascii="仿宋_GB2312" w:hAnsi="仿宋_GB2312" w:eastAsia="仿宋_GB2312"/>
          <w:sz w:val="32"/>
          <w:szCs w:val="24"/>
          <w:lang w:val="en-US" w:eastAsia="zh-CN"/>
        </w:rPr>
        <w:t>16.35</w:t>
      </w:r>
      <w:r>
        <w:rPr>
          <w:rFonts w:hint="eastAsia" w:ascii="仿宋_GB2312" w:hAnsi="仿宋_GB2312" w:eastAsia="仿宋_GB2312"/>
          <w:sz w:val="32"/>
          <w:szCs w:val="24"/>
          <w:lang w:val="en-US"/>
        </w:rPr>
        <w:t>万元，增长</w:t>
      </w:r>
      <w:r>
        <w:rPr>
          <w:rFonts w:hint="eastAsia" w:ascii="仿宋_GB2312" w:hAnsi="仿宋_GB2312" w:eastAsia="仿宋_GB2312"/>
          <w:sz w:val="32"/>
          <w:szCs w:val="24"/>
          <w:lang w:val="en-US" w:eastAsia="zh-CN"/>
        </w:rPr>
        <w:t>49.26</w:t>
      </w:r>
      <w:r>
        <w:rPr>
          <w:rFonts w:hint="eastAsia" w:ascii="仿宋_GB2312" w:hAnsi="仿宋_GB2312" w:eastAsia="仿宋_GB2312"/>
          <w:sz w:val="32"/>
          <w:szCs w:val="24"/>
          <w:lang w:val="en-US"/>
        </w:rPr>
        <w:t>%。主要原因是人员工资及五险一金增加。</w:t>
      </w:r>
    </w:p>
    <w:p>
      <w:pPr>
        <w:spacing w:line="590" w:lineRule="exact"/>
        <w:ind w:firstLine="640"/>
        <w:rPr>
          <w:rFonts w:hint="default" w:eastAsia="Times New Roman"/>
          <w:b/>
          <w:sz w:val="32"/>
          <w:szCs w:val="24"/>
          <w:lang w:val="en-US"/>
        </w:rPr>
      </w:pPr>
      <w:r>
        <w:rPr>
          <w:rFonts w:hint="eastAsia" w:ascii="楷体_GB2312" w:hAnsi="楷体_GB2312" w:eastAsia="楷体_GB2312"/>
          <w:b/>
          <w:sz w:val="32"/>
          <w:szCs w:val="24"/>
          <w:lang w:val="en-US"/>
        </w:rPr>
        <w:t>（二）结构情况。</w:t>
      </w:r>
    </w:p>
    <w:p>
      <w:pPr>
        <w:spacing w:line="590" w:lineRule="exact"/>
        <w:ind w:firstLine="640"/>
        <w:rPr>
          <w:rFonts w:hint="eastAsia" w:ascii="仿宋_GB2312" w:hAnsi="仿宋_GB2312" w:eastAsia="仿宋_GB2312"/>
          <w:sz w:val="32"/>
          <w:szCs w:val="24"/>
          <w:lang w:val="en-US"/>
        </w:rPr>
      </w:pPr>
      <w:r>
        <w:rPr>
          <w:rFonts w:hint="eastAsia" w:ascii="仿宋_GB2312" w:hAnsi="仿宋_GB2312" w:eastAsia="仿宋_GB2312"/>
          <w:sz w:val="32"/>
          <w:szCs w:val="24"/>
          <w:lang w:val="en-US"/>
        </w:rPr>
        <w:t>2021年度一般公共预算财政拨款支出49.54万元，主要用于以下方面：一般公共服务（类）支出</w:t>
      </w:r>
      <w:r>
        <w:rPr>
          <w:rFonts w:hint="eastAsia" w:ascii="仿宋_GB2312" w:hAnsi="仿宋_GB2312" w:eastAsia="仿宋_GB2312"/>
          <w:sz w:val="32"/>
          <w:szCs w:val="24"/>
          <w:lang w:val="en-US" w:eastAsia="zh-CN"/>
        </w:rPr>
        <w:t>45.61</w:t>
      </w:r>
      <w:r>
        <w:rPr>
          <w:rFonts w:hint="eastAsia" w:ascii="仿宋_GB2312" w:hAnsi="仿宋_GB2312" w:eastAsia="仿宋_GB2312"/>
          <w:sz w:val="32"/>
          <w:szCs w:val="24"/>
          <w:lang w:val="en-US"/>
        </w:rPr>
        <w:t>万元，占</w:t>
      </w:r>
      <w:r>
        <w:rPr>
          <w:rFonts w:hint="eastAsia" w:ascii="仿宋_GB2312" w:hAnsi="仿宋_GB2312" w:eastAsia="仿宋_GB2312"/>
          <w:sz w:val="32"/>
          <w:szCs w:val="24"/>
          <w:lang w:val="en-US" w:eastAsia="zh-CN"/>
        </w:rPr>
        <w:t>92.1</w:t>
      </w:r>
      <w:r>
        <w:rPr>
          <w:rFonts w:hint="eastAsia" w:ascii="仿宋_GB2312" w:hAnsi="仿宋_GB2312" w:eastAsia="仿宋_GB2312"/>
          <w:sz w:val="32"/>
          <w:szCs w:val="24"/>
          <w:lang w:val="en-US"/>
        </w:rPr>
        <w:t>%；</w:t>
      </w:r>
      <w:r>
        <w:rPr>
          <w:rFonts w:hint="eastAsia" w:ascii="仿宋_GB2312" w:eastAsia="仿宋_GB2312"/>
          <w:sz w:val="32"/>
          <w:szCs w:val="24"/>
        </w:rPr>
        <w:t>社会保障和就业</w:t>
      </w:r>
      <w:r>
        <w:rPr>
          <w:rFonts w:hint="eastAsia" w:ascii="仿宋_GB2312" w:hAnsi="仿宋_GB2312" w:eastAsia="仿宋_GB2312"/>
          <w:sz w:val="32"/>
          <w:szCs w:val="24"/>
          <w:lang w:val="en-US"/>
        </w:rPr>
        <w:t>支出</w:t>
      </w:r>
      <w:r>
        <w:rPr>
          <w:rFonts w:hint="eastAsia" w:ascii="仿宋_GB2312" w:hAnsi="仿宋_GB2312" w:eastAsia="仿宋_GB2312"/>
          <w:sz w:val="32"/>
          <w:szCs w:val="24"/>
          <w:lang w:val="en-US" w:eastAsia="zh-CN"/>
        </w:rPr>
        <w:t>3.92</w:t>
      </w:r>
      <w:r>
        <w:rPr>
          <w:rFonts w:hint="eastAsia" w:ascii="仿宋_GB2312" w:hAnsi="仿宋_GB2312" w:eastAsia="仿宋_GB2312"/>
          <w:sz w:val="32"/>
          <w:szCs w:val="24"/>
          <w:lang w:val="en-US"/>
        </w:rPr>
        <w:t>万元，占</w:t>
      </w:r>
      <w:r>
        <w:rPr>
          <w:rFonts w:hint="eastAsia" w:ascii="仿宋_GB2312" w:hAnsi="仿宋_GB2312" w:eastAsia="仿宋_GB2312"/>
          <w:sz w:val="32"/>
          <w:szCs w:val="24"/>
          <w:lang w:val="en-US" w:eastAsia="zh-CN"/>
        </w:rPr>
        <w:t>0.08</w:t>
      </w:r>
      <w:r>
        <w:rPr>
          <w:rFonts w:hint="eastAsia" w:ascii="仿宋_GB2312" w:hAnsi="仿宋_GB2312" w:eastAsia="仿宋_GB2312"/>
          <w:sz w:val="32"/>
          <w:szCs w:val="24"/>
          <w:lang w:val="en-US"/>
        </w:rPr>
        <w:t>%。</w:t>
      </w:r>
    </w:p>
    <w:p>
      <w:pPr>
        <w:spacing w:line="590" w:lineRule="exact"/>
        <w:ind w:firstLine="640"/>
        <w:rPr>
          <w:rFonts w:hint="default" w:eastAsia="Times New Roman"/>
          <w:b/>
          <w:sz w:val="32"/>
          <w:szCs w:val="24"/>
          <w:lang w:val="en-US"/>
        </w:rPr>
      </w:pPr>
      <w:r>
        <w:rPr>
          <w:rFonts w:hint="eastAsia" w:ascii="楷体_GB2312" w:hAnsi="楷体_GB2312" w:eastAsia="楷体_GB2312"/>
          <w:b/>
          <w:sz w:val="32"/>
          <w:szCs w:val="24"/>
          <w:lang w:val="en-US"/>
        </w:rPr>
        <w:t>（三）具体情况。</w:t>
      </w:r>
    </w:p>
    <w:p>
      <w:pPr>
        <w:spacing w:line="590" w:lineRule="exact"/>
        <w:ind w:firstLine="640"/>
        <w:rPr>
          <w:rFonts w:hint="default" w:eastAsia="Times New Roman"/>
          <w:sz w:val="32"/>
          <w:szCs w:val="24"/>
          <w:lang w:val="en-US"/>
        </w:rPr>
      </w:pPr>
      <w:r>
        <w:rPr>
          <w:rFonts w:hint="eastAsia" w:ascii="仿宋_GB2312" w:hAnsi="仿宋_GB2312" w:eastAsia="仿宋_GB2312"/>
          <w:sz w:val="32"/>
          <w:szCs w:val="24"/>
          <w:lang w:val="en-US"/>
        </w:rPr>
        <w:t>2021年度一般公共预算财政拨款支出年初预算为56.71万元，支出决算为49.54万元，完成年初预算的87.36%。其中：</w:t>
      </w:r>
    </w:p>
    <w:p>
      <w:pPr>
        <w:spacing w:line="590" w:lineRule="exact"/>
        <w:ind w:firstLine="640"/>
        <w:rPr>
          <w:rFonts w:hint="default" w:eastAsia="Times New Roman"/>
          <w:sz w:val="32"/>
          <w:szCs w:val="24"/>
          <w:lang w:val="en-US"/>
        </w:rPr>
      </w:pPr>
      <w:r>
        <w:rPr>
          <w:rFonts w:hint="eastAsia" w:ascii="仿宋_GB2312" w:hAnsi="仿宋_GB2312" w:eastAsia="仿宋_GB2312"/>
          <w:b/>
          <w:sz w:val="32"/>
          <w:szCs w:val="24"/>
          <w:lang w:val="en-US"/>
        </w:rPr>
        <w:t>1．</w:t>
      </w:r>
      <w:r>
        <w:rPr>
          <w:rFonts w:hint="eastAsia" w:ascii="仿宋_GB2312" w:eastAsia="仿宋_GB2312"/>
          <w:kern w:val="0"/>
          <w:sz w:val="32"/>
          <w:szCs w:val="24"/>
          <w:lang w:val="zh-CN"/>
        </w:rPr>
        <w:t>一般公共服务（类）群众团体事务（款）行政运行（项）。</w:t>
      </w:r>
      <w:r>
        <w:rPr>
          <w:rFonts w:hint="eastAsia" w:ascii="仿宋_GB2312" w:eastAsia="仿宋_GB2312"/>
          <w:sz w:val="32"/>
          <w:szCs w:val="24"/>
        </w:rPr>
        <w:t>。年初预算为1.20万元</w:t>
      </w:r>
      <w:r>
        <w:rPr>
          <w:rFonts w:hint="eastAsia" w:ascii="仿宋_GB2312" w:hAnsi="仿宋_GB2312" w:eastAsia="仿宋_GB2312"/>
          <w:sz w:val="32"/>
          <w:szCs w:val="24"/>
          <w:lang w:val="en-US"/>
        </w:rPr>
        <w:t>，支出决算为</w:t>
      </w:r>
      <w:r>
        <w:rPr>
          <w:rFonts w:hint="eastAsia" w:ascii="仿宋_GB2312" w:hAnsi="仿宋_GB2312" w:eastAsia="仿宋_GB2312"/>
          <w:sz w:val="32"/>
          <w:szCs w:val="24"/>
          <w:lang w:val="en-US" w:eastAsia="zh-CN"/>
        </w:rPr>
        <w:t>0.89</w:t>
      </w:r>
      <w:r>
        <w:rPr>
          <w:rFonts w:hint="eastAsia" w:ascii="仿宋_GB2312" w:hAnsi="仿宋_GB2312" w:eastAsia="仿宋_GB2312"/>
          <w:sz w:val="32"/>
          <w:szCs w:val="24"/>
          <w:lang w:val="en-US"/>
        </w:rPr>
        <w:t>万元，完成年初预算的</w:t>
      </w:r>
      <w:r>
        <w:rPr>
          <w:rFonts w:hint="eastAsia" w:ascii="仿宋_GB2312" w:hAnsi="仿宋_GB2312" w:eastAsia="仿宋_GB2312"/>
          <w:sz w:val="32"/>
          <w:szCs w:val="24"/>
          <w:lang w:val="en-US" w:eastAsia="zh-CN"/>
        </w:rPr>
        <w:t>74.1</w:t>
      </w:r>
      <w:r>
        <w:rPr>
          <w:rFonts w:hint="eastAsia" w:ascii="仿宋_GB2312" w:hAnsi="仿宋_GB2312" w:eastAsia="仿宋_GB2312"/>
          <w:sz w:val="32"/>
          <w:szCs w:val="24"/>
          <w:lang w:val="en-US"/>
        </w:rPr>
        <w:t>%。决算数与年初预算数存在差异的主要原因是退休人员经费未拨付。</w:t>
      </w:r>
    </w:p>
    <w:p>
      <w:pPr>
        <w:spacing w:line="590" w:lineRule="exact"/>
        <w:ind w:firstLine="640"/>
        <w:rPr>
          <w:rFonts w:hint="eastAsia" w:ascii="仿宋_GB2312" w:hAnsi="仿宋_GB2312" w:eastAsia="仿宋_GB2312"/>
          <w:sz w:val="32"/>
          <w:szCs w:val="24"/>
          <w:lang w:val="en-US"/>
        </w:rPr>
      </w:pPr>
      <w:r>
        <w:rPr>
          <w:rFonts w:hint="eastAsia" w:ascii="仿宋_GB2312" w:hAnsi="仿宋_GB2312" w:eastAsia="仿宋_GB2312"/>
          <w:b/>
          <w:sz w:val="32"/>
          <w:szCs w:val="24"/>
          <w:lang w:val="en-US"/>
        </w:rPr>
        <w:t>2</w:t>
      </w:r>
      <w:r>
        <w:rPr>
          <w:rFonts w:hint="eastAsia" w:ascii="仿宋_GB2312" w:eastAsia="仿宋_GB2312"/>
          <w:kern w:val="0"/>
          <w:sz w:val="32"/>
          <w:szCs w:val="24"/>
          <w:lang w:val="zh-CN"/>
        </w:rPr>
        <w:t>一般公共服务（类）群众团体事务（款）其他群众团体事务（项）</w:t>
      </w:r>
      <w:r>
        <w:rPr>
          <w:rFonts w:hint="eastAsia" w:ascii="仿宋_GB2312" w:eastAsia="仿宋_GB2312"/>
          <w:sz w:val="32"/>
          <w:szCs w:val="24"/>
        </w:rPr>
        <w:t>。年初预算为</w:t>
      </w:r>
      <w:r>
        <w:rPr>
          <w:rFonts w:hint="eastAsia" w:ascii="仿宋_GB2312" w:eastAsia="仿宋_GB2312"/>
          <w:sz w:val="32"/>
          <w:szCs w:val="24"/>
          <w:lang w:val="en-US" w:eastAsia="zh-CN"/>
        </w:rPr>
        <w:t>15</w:t>
      </w:r>
      <w:r>
        <w:rPr>
          <w:rFonts w:hint="eastAsia" w:ascii="仿宋_GB2312" w:eastAsia="仿宋_GB2312"/>
          <w:sz w:val="32"/>
          <w:szCs w:val="24"/>
        </w:rPr>
        <w:t>.00万元</w:t>
      </w:r>
      <w:r>
        <w:rPr>
          <w:rFonts w:hint="eastAsia" w:ascii="仿宋_GB2312" w:hAnsi="仿宋_GB2312" w:eastAsia="仿宋_GB2312"/>
          <w:sz w:val="32"/>
          <w:szCs w:val="24"/>
          <w:lang w:val="en-US"/>
        </w:rPr>
        <w:t>，支出决算为</w:t>
      </w:r>
      <w:r>
        <w:rPr>
          <w:rFonts w:hint="eastAsia" w:ascii="仿宋_GB2312" w:hAnsi="仿宋_GB2312" w:eastAsia="仿宋_GB2312"/>
          <w:sz w:val="32"/>
          <w:szCs w:val="24"/>
          <w:lang w:val="en-US" w:eastAsia="zh-CN"/>
        </w:rPr>
        <w:t>44.72</w:t>
      </w:r>
      <w:r>
        <w:rPr>
          <w:rFonts w:hint="eastAsia" w:ascii="仿宋_GB2312" w:hAnsi="仿宋_GB2312" w:eastAsia="仿宋_GB2312"/>
          <w:sz w:val="32"/>
          <w:szCs w:val="24"/>
          <w:lang w:val="en-US"/>
        </w:rPr>
        <w:t>万元，完成年初预算的</w:t>
      </w:r>
      <w:r>
        <w:rPr>
          <w:rFonts w:hint="eastAsia" w:ascii="仿宋_GB2312" w:hAnsi="仿宋_GB2312" w:eastAsia="仿宋_GB2312"/>
          <w:sz w:val="32"/>
          <w:szCs w:val="24"/>
          <w:lang w:val="en-US" w:eastAsia="zh-CN"/>
        </w:rPr>
        <w:t>298.13</w:t>
      </w:r>
      <w:r>
        <w:rPr>
          <w:rFonts w:hint="eastAsia" w:ascii="仿宋_GB2312" w:hAnsi="仿宋_GB2312" w:eastAsia="仿宋_GB2312"/>
          <w:sz w:val="32"/>
          <w:szCs w:val="24"/>
          <w:lang w:val="en-US"/>
        </w:rPr>
        <w:t>%。决算数与年初预算数存在差异的主要原因是</w:t>
      </w:r>
      <w:r>
        <w:rPr>
          <w:rFonts w:hint="eastAsia" w:ascii="仿宋_GB2312" w:hAnsi="仿宋_GB2312" w:eastAsia="仿宋_GB2312"/>
          <w:sz w:val="32"/>
          <w:szCs w:val="24"/>
          <w:lang w:val="en-US" w:eastAsia="zh-CN"/>
        </w:rPr>
        <w:t>养老保险科目与预算科目不一致</w:t>
      </w:r>
      <w:r>
        <w:rPr>
          <w:rFonts w:hint="eastAsia" w:ascii="仿宋_GB2312" w:hAnsi="仿宋_GB2312" w:eastAsia="仿宋_GB2312"/>
          <w:sz w:val="32"/>
          <w:szCs w:val="24"/>
          <w:lang w:val="en-US"/>
        </w:rPr>
        <w:t>。</w:t>
      </w:r>
    </w:p>
    <w:p>
      <w:pPr>
        <w:spacing w:line="590" w:lineRule="exact"/>
        <w:ind w:firstLine="640"/>
        <w:rPr>
          <w:rFonts w:hint="eastAsia" w:ascii="仿宋_GB2312" w:hAnsi="仿宋_GB2312" w:eastAsia="仿宋_GB2312"/>
          <w:sz w:val="32"/>
          <w:szCs w:val="24"/>
          <w:lang w:val="zh-CN"/>
        </w:rPr>
      </w:pPr>
      <w:r>
        <w:rPr>
          <w:rFonts w:hint="eastAsia" w:ascii="仿宋_GB2312" w:eastAsia="仿宋_GB2312"/>
          <w:kern w:val="0"/>
          <w:sz w:val="32"/>
          <w:szCs w:val="24"/>
          <w:lang w:val="en-US" w:eastAsia="zh-CN"/>
        </w:rPr>
        <w:t>3.</w:t>
      </w:r>
      <w:r>
        <w:rPr>
          <w:rFonts w:hint="eastAsia" w:ascii="仿宋_GB2312" w:eastAsia="仿宋_GB2312"/>
          <w:kern w:val="0"/>
          <w:sz w:val="32"/>
          <w:szCs w:val="24"/>
          <w:lang w:val="zh-CN"/>
        </w:rPr>
        <w:t>社会保障和就业（类）行政事业单位养老支出（款）行政单位离退休（项）。年初预算为4.01万元，支出决算为</w:t>
      </w:r>
      <w:r>
        <w:rPr>
          <w:rFonts w:hint="eastAsia" w:ascii="仿宋_GB2312" w:eastAsia="仿宋_GB2312"/>
          <w:kern w:val="0"/>
          <w:sz w:val="32"/>
          <w:szCs w:val="24"/>
          <w:lang w:val="en-US" w:eastAsia="zh-CN"/>
        </w:rPr>
        <w:t>3.93</w:t>
      </w:r>
      <w:r>
        <w:rPr>
          <w:rFonts w:hint="eastAsia" w:ascii="仿宋_GB2312" w:eastAsia="仿宋_GB2312"/>
          <w:kern w:val="0"/>
          <w:sz w:val="32"/>
          <w:szCs w:val="24"/>
          <w:lang w:val="zh-CN"/>
        </w:rPr>
        <w:t>万元，完成年初预算的9</w:t>
      </w:r>
      <w:r>
        <w:rPr>
          <w:rFonts w:hint="eastAsia" w:ascii="仿宋_GB2312" w:eastAsia="仿宋_GB2312"/>
          <w:kern w:val="0"/>
          <w:sz w:val="32"/>
          <w:szCs w:val="24"/>
          <w:lang w:val="en-US" w:eastAsia="zh-CN"/>
        </w:rPr>
        <w:t>7</w:t>
      </w:r>
      <w:r>
        <w:rPr>
          <w:rFonts w:hint="eastAsia" w:ascii="仿宋_GB2312" w:eastAsia="仿宋_GB2312"/>
          <w:kern w:val="0"/>
          <w:sz w:val="32"/>
          <w:szCs w:val="24"/>
          <w:lang w:val="zh-CN"/>
        </w:rPr>
        <w:t>.</w:t>
      </w:r>
      <w:r>
        <w:rPr>
          <w:rFonts w:hint="eastAsia" w:ascii="仿宋_GB2312" w:eastAsia="仿宋_GB2312"/>
          <w:kern w:val="0"/>
          <w:sz w:val="32"/>
          <w:szCs w:val="24"/>
          <w:lang w:val="en-US" w:eastAsia="zh-CN"/>
        </w:rPr>
        <w:t>7</w:t>
      </w:r>
      <w:r>
        <w:rPr>
          <w:rFonts w:hint="eastAsia" w:ascii="仿宋_GB2312" w:eastAsia="仿宋_GB2312"/>
          <w:kern w:val="0"/>
          <w:sz w:val="32"/>
          <w:szCs w:val="24"/>
          <w:lang w:val="zh-CN"/>
        </w:rPr>
        <w:t>%</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六、一般公共预算财政拨款基本支出决算情况说明</w:t>
      </w:r>
    </w:p>
    <w:p>
      <w:pPr>
        <w:spacing w:line="590" w:lineRule="exact"/>
        <w:ind w:firstLine="640"/>
        <w:rPr>
          <w:rFonts w:hint="eastAsia" w:ascii="仿宋_GB2312" w:hAnsi="仿宋_GB2312" w:eastAsia="仿宋_GB2312"/>
          <w:sz w:val="32"/>
          <w:szCs w:val="24"/>
          <w:lang w:val="en-US"/>
        </w:rPr>
      </w:pPr>
      <w:r>
        <w:rPr>
          <w:rFonts w:hint="eastAsia" w:ascii="仿宋_GB2312" w:eastAsia="仿宋_GB2312"/>
          <w:sz w:val="32"/>
          <w:szCs w:val="24"/>
        </w:rPr>
        <w:t>202</w:t>
      </w:r>
      <w:r>
        <w:rPr>
          <w:rFonts w:hint="eastAsia" w:ascii="仿宋_GB2312" w:eastAsia="仿宋_GB2312"/>
          <w:sz w:val="32"/>
          <w:szCs w:val="24"/>
          <w:lang w:val="en-US" w:eastAsia="zh-CN"/>
        </w:rPr>
        <w:t>1</w:t>
      </w:r>
      <w:r>
        <w:rPr>
          <w:rFonts w:hint="eastAsia" w:ascii="仿宋_GB2312" w:eastAsia="仿宋_GB2312"/>
          <w:sz w:val="32"/>
          <w:szCs w:val="24"/>
        </w:rPr>
        <w:t>年度一般公共预算财政拨款支出</w:t>
      </w:r>
      <w:r>
        <w:rPr>
          <w:rFonts w:hint="eastAsia" w:ascii="仿宋_GB2312" w:eastAsia="仿宋_GB2312"/>
          <w:sz w:val="32"/>
          <w:szCs w:val="24"/>
          <w:lang w:val="en-US" w:eastAsia="zh-CN"/>
        </w:rPr>
        <w:t>49.54</w:t>
      </w:r>
      <w:r>
        <w:rPr>
          <w:rFonts w:hint="eastAsia" w:ascii="仿宋_GB2312" w:eastAsia="仿宋_GB2312"/>
          <w:sz w:val="32"/>
          <w:szCs w:val="24"/>
        </w:rPr>
        <w:t>万元。与上年度相比，一般公共预算财政拨款支出增加</w:t>
      </w:r>
      <w:r>
        <w:rPr>
          <w:rFonts w:hint="eastAsia" w:ascii="仿宋_GB2312" w:eastAsia="仿宋_GB2312"/>
          <w:sz w:val="32"/>
          <w:szCs w:val="24"/>
          <w:lang w:val="en-US" w:eastAsia="zh-CN"/>
        </w:rPr>
        <w:t>16.35</w:t>
      </w:r>
      <w:r>
        <w:rPr>
          <w:rFonts w:hint="eastAsia" w:ascii="仿宋_GB2312" w:eastAsia="仿宋_GB2312"/>
          <w:sz w:val="32"/>
          <w:szCs w:val="24"/>
        </w:rPr>
        <w:t>万元，增长</w:t>
      </w:r>
      <w:r>
        <w:rPr>
          <w:rFonts w:hint="eastAsia" w:ascii="仿宋_GB2312" w:eastAsia="仿宋_GB2312"/>
          <w:sz w:val="32"/>
          <w:szCs w:val="24"/>
          <w:lang w:val="en-US" w:eastAsia="zh-CN"/>
        </w:rPr>
        <w:t>49.26</w:t>
      </w:r>
      <w:r>
        <w:rPr>
          <w:rFonts w:hint="eastAsia" w:ascii="仿宋_GB2312" w:eastAsia="仿宋_GB2312"/>
          <w:sz w:val="32"/>
          <w:szCs w:val="24"/>
        </w:rPr>
        <w:t>%。主要原因是财政配套帮扶办公经费2020年未支付到位</w:t>
      </w:r>
      <w:r>
        <w:rPr>
          <w:rFonts w:hint="eastAsia" w:ascii="仿宋_GB2312" w:eastAsia="仿宋_GB2312"/>
          <w:sz w:val="32"/>
          <w:szCs w:val="24"/>
          <w:lang w:val="en-US" w:eastAsia="zh-CN"/>
        </w:rPr>
        <w:t>,2021年支付到位，造成差异</w:t>
      </w:r>
      <w:r>
        <w:rPr>
          <w:rFonts w:hint="eastAsia" w:ascii="仿宋_GB2312" w:eastAsia="仿宋_GB2312"/>
          <w:sz w:val="32"/>
          <w:szCs w:val="24"/>
        </w:rPr>
        <w:t>。</w:t>
      </w:r>
      <w:r>
        <w:rPr>
          <w:rFonts w:hint="eastAsia" w:ascii="仿宋_GB2312" w:hAnsi="仿宋_GB2312" w:eastAsia="仿宋_GB2312"/>
          <w:sz w:val="32"/>
          <w:szCs w:val="24"/>
          <w:lang w:val="en-US"/>
        </w:rPr>
        <w:t>其中：人员经费27.41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22.14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七、一般公共预算财政拨款</w:t>
      </w:r>
      <w:r>
        <w:rPr>
          <w:rFonts w:hint="default" w:eastAsia="Times New Roman"/>
          <w:sz w:val="32"/>
          <w:szCs w:val="24"/>
          <w:lang w:val="en-US"/>
        </w:rPr>
        <w:t>“</w:t>
      </w:r>
      <w:r>
        <w:rPr>
          <w:rFonts w:hint="eastAsia" w:ascii="黑体" w:hAnsi="黑体" w:eastAsia="黑体"/>
          <w:sz w:val="32"/>
          <w:szCs w:val="24"/>
          <w:lang w:val="en-US"/>
        </w:rPr>
        <w:t>三公</w:t>
      </w:r>
      <w:r>
        <w:rPr>
          <w:rFonts w:hint="default" w:eastAsia="Times New Roman"/>
          <w:sz w:val="32"/>
          <w:szCs w:val="24"/>
          <w:lang w:val="en-US"/>
        </w:rPr>
        <w:t>”</w:t>
      </w:r>
      <w:r>
        <w:rPr>
          <w:rFonts w:hint="eastAsia" w:ascii="黑体" w:hAnsi="黑体" w:eastAsia="黑体"/>
          <w:sz w:val="32"/>
          <w:szCs w:val="24"/>
          <w:lang w:val="en-US"/>
        </w:rPr>
        <w:t>经费支出决算情况说明</w:t>
      </w:r>
    </w:p>
    <w:p>
      <w:pPr>
        <w:spacing w:line="590" w:lineRule="exact"/>
        <w:ind w:firstLine="640"/>
        <w:rPr>
          <w:rFonts w:hint="default" w:eastAsia="Times New Roman"/>
          <w:b/>
          <w:sz w:val="32"/>
          <w:szCs w:val="24"/>
          <w:lang w:val="en-US"/>
        </w:rPr>
      </w:pPr>
      <w:r>
        <w:rPr>
          <w:rFonts w:hint="eastAsia" w:ascii="楷体_GB2312" w:hAnsi="楷体_GB2312" w:eastAsia="楷体_GB2312"/>
          <w:b/>
          <w:sz w:val="32"/>
          <w:szCs w:val="24"/>
          <w:lang w:val="en-US"/>
        </w:rPr>
        <w:t>（一）</w:t>
      </w:r>
      <w:r>
        <w:rPr>
          <w:rFonts w:hint="default" w:eastAsia="Times New Roman"/>
          <w:b/>
          <w:sz w:val="32"/>
          <w:szCs w:val="24"/>
          <w:lang w:val="en-US"/>
        </w:rPr>
        <w:t>“</w:t>
      </w:r>
      <w:r>
        <w:rPr>
          <w:rFonts w:hint="eastAsia" w:ascii="楷体_GB2312" w:hAnsi="楷体_GB2312" w:eastAsia="楷体_GB2312"/>
          <w:b/>
          <w:sz w:val="32"/>
          <w:szCs w:val="24"/>
          <w:lang w:val="en-US"/>
        </w:rPr>
        <w:t>三公</w:t>
      </w:r>
      <w:r>
        <w:rPr>
          <w:rFonts w:hint="default" w:eastAsia="Times New Roman"/>
          <w:b/>
          <w:sz w:val="32"/>
          <w:szCs w:val="24"/>
          <w:lang w:val="en-US"/>
        </w:rPr>
        <w:t>”</w:t>
      </w:r>
      <w:r>
        <w:rPr>
          <w:rFonts w:hint="eastAsia" w:ascii="楷体_GB2312" w:hAnsi="楷体_GB2312" w:eastAsia="楷体_GB2312"/>
          <w:b/>
          <w:sz w:val="32"/>
          <w:szCs w:val="24"/>
          <w:lang w:val="en-US"/>
        </w:rPr>
        <w:t>经费财政拨款支出决算总体情况说明。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w:t>
      </w:r>
      <w:r>
        <w:rPr>
          <w:rFonts w:hint="default" w:eastAsia="Times New Roman"/>
          <w:sz w:val="32"/>
          <w:szCs w:val="24"/>
          <w:lang w:val="en-US"/>
        </w:rPr>
        <w:t>“</w:t>
      </w:r>
      <w:r>
        <w:rPr>
          <w:rFonts w:hint="eastAsia" w:ascii="仿宋_GB2312" w:hAnsi="仿宋_GB2312" w:eastAsia="仿宋_GB2312"/>
          <w:sz w:val="32"/>
          <w:szCs w:val="24"/>
          <w:lang w:val="en-US"/>
        </w:rPr>
        <w:t>三公</w:t>
      </w:r>
      <w:r>
        <w:rPr>
          <w:rFonts w:hint="default" w:eastAsia="Times New Roman"/>
          <w:sz w:val="32"/>
          <w:szCs w:val="24"/>
          <w:lang w:val="en-US"/>
        </w:rPr>
        <w:t>”</w:t>
      </w:r>
      <w:r>
        <w:rPr>
          <w:rFonts w:hint="eastAsia" w:ascii="仿宋_GB2312" w:hAnsi="仿宋_GB2312" w:eastAsia="仿宋_GB2312"/>
          <w:sz w:val="32"/>
          <w:szCs w:val="24"/>
          <w:lang w:val="en-US"/>
        </w:rPr>
        <w:t>经费财政拨款支出预算为0万元，支出决算为0万元，完成预算的0%。2021年度</w:t>
      </w:r>
      <w:r>
        <w:rPr>
          <w:rFonts w:hint="default" w:eastAsia="Times New Roman"/>
          <w:sz w:val="32"/>
          <w:szCs w:val="24"/>
          <w:lang w:val="en-US"/>
        </w:rPr>
        <w:t>“</w:t>
      </w:r>
      <w:r>
        <w:rPr>
          <w:rFonts w:hint="eastAsia" w:ascii="仿宋_GB2312" w:hAnsi="仿宋_GB2312" w:eastAsia="仿宋_GB2312"/>
          <w:sz w:val="32"/>
          <w:szCs w:val="24"/>
          <w:lang w:val="en-US"/>
        </w:rPr>
        <w:t>三公</w:t>
      </w:r>
      <w:r>
        <w:rPr>
          <w:rFonts w:hint="default" w:eastAsia="Times New Roman"/>
          <w:sz w:val="32"/>
          <w:szCs w:val="24"/>
          <w:lang w:val="en-US"/>
        </w:rPr>
        <w:t>”</w:t>
      </w:r>
      <w:r>
        <w:rPr>
          <w:rFonts w:hint="eastAsia" w:ascii="仿宋_GB2312" w:hAnsi="仿宋_GB2312" w:eastAsia="仿宋_GB2312"/>
          <w:sz w:val="32"/>
          <w:szCs w:val="24"/>
          <w:lang w:val="en-US"/>
        </w:rPr>
        <w:t>经费支出决算数与预算数存在差异的主要原因是</w:t>
      </w:r>
      <w:r>
        <w:rPr>
          <w:rFonts w:hint="eastAsia" w:ascii="仿宋_GB2312" w:hAnsi="仿宋_GB2312" w:eastAsia="仿宋_GB2312"/>
          <w:sz w:val="32"/>
          <w:szCs w:val="24"/>
          <w:lang w:val="en-US" w:eastAsia="zh-CN"/>
        </w:rPr>
        <w:t>无</w:t>
      </w:r>
      <w:r>
        <w:rPr>
          <w:rFonts w:hint="eastAsia" w:ascii="仿宋_GB2312" w:hAnsi="仿宋_GB2312" w:eastAsia="仿宋_GB2312"/>
          <w:sz w:val="32"/>
          <w:szCs w:val="24"/>
          <w:lang w:val="en-US"/>
        </w:rPr>
        <w:t>。</w:t>
      </w:r>
    </w:p>
    <w:p>
      <w:pPr>
        <w:spacing w:line="590" w:lineRule="exact"/>
        <w:ind w:firstLine="640"/>
        <w:rPr>
          <w:rFonts w:hint="default" w:eastAsia="Times New Roman"/>
          <w:b/>
          <w:sz w:val="32"/>
          <w:szCs w:val="24"/>
          <w:lang w:val="en-US"/>
        </w:rPr>
      </w:pPr>
      <w:r>
        <w:rPr>
          <w:rFonts w:hint="eastAsia" w:ascii="楷体_GB2312" w:hAnsi="楷体_GB2312" w:eastAsia="楷体_GB2312"/>
          <w:b/>
          <w:sz w:val="32"/>
          <w:szCs w:val="24"/>
          <w:lang w:val="en-US"/>
        </w:rPr>
        <w:t>（二）</w:t>
      </w:r>
      <w:r>
        <w:rPr>
          <w:rFonts w:hint="default" w:eastAsia="Times New Roman"/>
          <w:b/>
          <w:sz w:val="32"/>
          <w:szCs w:val="24"/>
          <w:lang w:val="en-US"/>
        </w:rPr>
        <w:t>“</w:t>
      </w:r>
      <w:r>
        <w:rPr>
          <w:rFonts w:hint="eastAsia" w:ascii="楷体_GB2312" w:hAnsi="楷体_GB2312" w:eastAsia="楷体_GB2312"/>
          <w:b/>
          <w:sz w:val="32"/>
          <w:szCs w:val="24"/>
          <w:lang w:val="en-US"/>
        </w:rPr>
        <w:t>三公</w:t>
      </w:r>
      <w:r>
        <w:rPr>
          <w:rFonts w:hint="default" w:eastAsia="Times New Roman"/>
          <w:b/>
          <w:sz w:val="32"/>
          <w:szCs w:val="24"/>
          <w:lang w:val="en-US"/>
        </w:rPr>
        <w:t>”</w:t>
      </w:r>
      <w:r>
        <w:rPr>
          <w:rFonts w:hint="eastAsia" w:ascii="楷体_GB2312" w:hAnsi="楷体_GB2312" w:eastAsia="楷体_GB2312"/>
          <w:b/>
          <w:sz w:val="32"/>
          <w:szCs w:val="24"/>
          <w:lang w:val="en-US"/>
        </w:rPr>
        <w:t>经费财政拨款支出决算具体情况说明。</w:t>
      </w:r>
    </w:p>
    <w:p>
      <w:pPr>
        <w:spacing w:line="590" w:lineRule="exact"/>
        <w:ind w:firstLine="640"/>
        <w:rPr>
          <w:rFonts w:hint="default" w:eastAsia="Times New Roman"/>
          <w:kern w:val="0"/>
          <w:sz w:val="18"/>
          <w:szCs w:val="24"/>
          <w:lang w:val="en-US"/>
        </w:rPr>
      </w:pPr>
      <w:r>
        <w:rPr>
          <w:rFonts w:hint="eastAsia" w:ascii="仿宋_GB2312" w:hAnsi="仿宋_GB2312" w:eastAsia="仿宋_GB2312"/>
          <w:sz w:val="32"/>
          <w:szCs w:val="24"/>
          <w:lang w:val="en-US"/>
        </w:rPr>
        <w:t>2021年度</w:t>
      </w:r>
      <w:r>
        <w:rPr>
          <w:rFonts w:hint="default" w:eastAsia="Times New Roman"/>
          <w:sz w:val="32"/>
          <w:szCs w:val="24"/>
          <w:lang w:val="en-US"/>
        </w:rPr>
        <w:t>“</w:t>
      </w:r>
      <w:r>
        <w:rPr>
          <w:rFonts w:hint="eastAsia" w:ascii="仿宋_GB2312" w:hAnsi="仿宋_GB2312" w:eastAsia="仿宋_GB2312"/>
          <w:sz w:val="32"/>
          <w:szCs w:val="24"/>
          <w:lang w:val="en-US"/>
        </w:rPr>
        <w:t>三公</w:t>
      </w:r>
      <w:r>
        <w:rPr>
          <w:rFonts w:hint="default" w:eastAsia="Times New Roman"/>
          <w:sz w:val="32"/>
          <w:szCs w:val="24"/>
          <w:lang w:val="en-US"/>
        </w:rPr>
        <w:t>”</w:t>
      </w:r>
      <w:r>
        <w:rPr>
          <w:rFonts w:hint="eastAsia" w:ascii="仿宋_GB2312" w:hAnsi="仿宋_GB2312" w:eastAsia="仿宋_GB2312"/>
          <w:sz w:val="32"/>
          <w:szCs w:val="24"/>
          <w:lang w:val="en-US"/>
        </w:rPr>
        <w:t>经费财政拨款支出决算中，因公出国（境）费支出决算0万元，完成预算的0%，占0%；公务用车购置及运行费支出决算0万元，完成预算的0%，占0%；公务接待费支出决算0万元，完成预算的0%，占0%；具体情况如下：</w:t>
      </w:r>
    </w:p>
    <w:p>
      <w:pPr>
        <w:spacing w:line="590" w:lineRule="exact"/>
        <w:ind w:firstLine="640"/>
        <w:rPr>
          <w:rFonts w:hint="default" w:eastAsia="Times New Roman"/>
          <w:sz w:val="32"/>
          <w:szCs w:val="24"/>
          <w:lang w:val="en-US"/>
        </w:rPr>
      </w:pPr>
      <w:r>
        <w:rPr>
          <w:rFonts w:hint="eastAsia" w:ascii="仿宋_GB2312" w:hAnsi="仿宋_GB2312" w:eastAsia="仿宋_GB2312"/>
          <w:b/>
          <w:sz w:val="32"/>
          <w:szCs w:val="24"/>
          <w:lang w:val="en-US"/>
        </w:rPr>
        <w:t>1．因公出国（境）费</w:t>
      </w:r>
      <w:r>
        <w:rPr>
          <w:rFonts w:hint="eastAsia" w:ascii="仿宋_GB2312" w:hAnsi="仿宋_GB2312" w:eastAsia="仿宋_GB2312"/>
          <w:sz w:val="32"/>
          <w:szCs w:val="24"/>
          <w:lang w:val="en-US"/>
        </w:rPr>
        <w:t>年初预算为0万元，支出决算为0万元，完成年初预算的0%，决算数与年初预算数存在差异的主要原因是</w:t>
      </w:r>
      <w:r>
        <w:rPr>
          <w:rFonts w:hint="eastAsia" w:ascii="仿宋_GB2312" w:hAnsi="仿宋_GB2312" w:eastAsia="仿宋_GB2312"/>
          <w:sz w:val="32"/>
          <w:szCs w:val="24"/>
          <w:lang w:val="en-US" w:eastAsia="zh-CN"/>
        </w:rPr>
        <w:t>无</w:t>
      </w:r>
      <w:r>
        <w:rPr>
          <w:rFonts w:hint="eastAsia" w:ascii="仿宋_GB2312" w:hAnsi="仿宋_GB2312" w:eastAsia="仿宋_GB2312"/>
          <w:sz w:val="32"/>
          <w:szCs w:val="24"/>
          <w:lang w:val="en-US"/>
        </w:rPr>
        <w:t>。</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因公出国（境）团组数0个，因公出国（境）人次数0人。开支内容包括：</w:t>
      </w:r>
      <w:r>
        <w:rPr>
          <w:rFonts w:hint="eastAsia" w:ascii="仿宋_GB2312" w:hAnsi="仿宋_GB2312" w:eastAsia="仿宋_GB2312"/>
          <w:sz w:val="32"/>
          <w:szCs w:val="24"/>
          <w:lang w:val="en-US" w:eastAsia="zh-CN"/>
        </w:rPr>
        <w:t>无</w:t>
      </w:r>
      <w:r>
        <w:rPr>
          <w:rFonts w:hint="eastAsia" w:ascii="仿宋_GB2312" w:hAnsi="仿宋_GB2312" w:eastAsia="仿宋_GB2312"/>
          <w:sz w:val="32"/>
          <w:szCs w:val="24"/>
          <w:lang w:val="en-US"/>
        </w:rPr>
        <w:t>。</w:t>
      </w:r>
    </w:p>
    <w:p>
      <w:pPr>
        <w:spacing w:line="590" w:lineRule="exact"/>
        <w:ind w:firstLine="640"/>
        <w:rPr>
          <w:rFonts w:hint="eastAsia" w:eastAsia="仿宋_GB2312"/>
          <w:sz w:val="32"/>
          <w:szCs w:val="24"/>
          <w:lang w:val="en-US" w:eastAsia="zh-CN"/>
        </w:rPr>
      </w:pPr>
      <w:r>
        <w:rPr>
          <w:rFonts w:hint="eastAsia" w:ascii="仿宋_GB2312" w:hAnsi="仿宋_GB2312" w:eastAsia="仿宋_GB2312"/>
          <w:b/>
          <w:sz w:val="32"/>
          <w:szCs w:val="24"/>
          <w:lang w:val="en-US"/>
        </w:rPr>
        <w:t>2．公务用车购置及运行费</w:t>
      </w:r>
      <w:r>
        <w:rPr>
          <w:rFonts w:hint="eastAsia" w:ascii="仿宋_GB2312" w:hAnsi="仿宋_GB2312" w:eastAsia="仿宋_GB2312"/>
          <w:sz w:val="32"/>
          <w:szCs w:val="24"/>
          <w:lang w:val="en-US"/>
        </w:rPr>
        <w:t>年初预算为0万元，支出决算为0万元，完成年初预算的0%，决算数与年初预算数存在差异的主要原因是</w:t>
      </w:r>
      <w:r>
        <w:rPr>
          <w:rFonts w:hint="eastAsia" w:ascii="仿宋_GB2312" w:hAnsi="仿宋_GB2312" w:eastAsia="仿宋_GB2312"/>
          <w:sz w:val="32"/>
          <w:szCs w:val="24"/>
          <w:lang w:val="en-US" w:eastAsia="zh-CN"/>
        </w:rPr>
        <w:t>无</w:t>
      </w:r>
      <w:r>
        <w:rPr>
          <w:rFonts w:hint="eastAsia" w:ascii="仿宋_GB2312" w:hAnsi="仿宋_GB2312" w:eastAsia="仿宋_GB2312"/>
          <w:sz w:val="32"/>
          <w:szCs w:val="24"/>
          <w:lang w:val="en-US"/>
        </w:rPr>
        <w:t>。其中：</w:t>
      </w:r>
    </w:p>
    <w:p>
      <w:pPr>
        <w:spacing w:line="590" w:lineRule="exact"/>
        <w:ind w:firstLine="640"/>
        <w:rPr>
          <w:rFonts w:hint="default" w:eastAsia="Times New Roman"/>
          <w:sz w:val="32"/>
          <w:szCs w:val="24"/>
          <w:lang w:val="en-US"/>
        </w:rPr>
      </w:pPr>
      <w:r>
        <w:rPr>
          <w:rFonts w:hint="eastAsia" w:ascii="仿宋_GB2312" w:hAnsi="仿宋_GB2312" w:eastAsia="仿宋_GB2312"/>
          <w:b/>
          <w:sz w:val="32"/>
          <w:szCs w:val="24"/>
          <w:lang w:val="en-US"/>
        </w:rPr>
        <w:t>公务用车购置支出</w:t>
      </w:r>
      <w:r>
        <w:rPr>
          <w:rFonts w:hint="eastAsia" w:ascii="仿宋_GB2312" w:hAnsi="仿宋_GB2312" w:eastAsia="仿宋_GB2312"/>
          <w:sz w:val="32"/>
          <w:szCs w:val="24"/>
          <w:lang w:val="en-US"/>
        </w:rPr>
        <w:t>0万元，购置车辆</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台。</w:t>
      </w:r>
    </w:p>
    <w:p>
      <w:pPr>
        <w:spacing w:line="590" w:lineRule="exact"/>
        <w:ind w:firstLine="640"/>
        <w:rPr>
          <w:rFonts w:hint="default" w:eastAsia="Times New Roman"/>
          <w:kern w:val="0"/>
          <w:sz w:val="18"/>
          <w:szCs w:val="24"/>
          <w:lang w:val="zh-CN"/>
        </w:rPr>
      </w:pPr>
      <w:r>
        <w:rPr>
          <w:rFonts w:hint="eastAsia" w:ascii="仿宋_GB2312" w:hAnsi="仿宋_GB2312" w:eastAsia="仿宋_GB2312"/>
          <w:b/>
          <w:sz w:val="32"/>
          <w:szCs w:val="24"/>
          <w:lang w:val="en-US"/>
        </w:rPr>
        <w:t>公务用车运行支出</w:t>
      </w:r>
      <w:r>
        <w:rPr>
          <w:rFonts w:hint="eastAsia" w:ascii="仿宋_GB2312" w:hAnsi="仿宋_GB2312" w:eastAsia="仿宋_GB2312"/>
          <w:sz w:val="32"/>
          <w:szCs w:val="24"/>
          <w:lang w:val="en-US"/>
        </w:rPr>
        <w:t>0万元。2021年期末，单位开支财政拨款的公务用车保有量为</w:t>
      </w:r>
      <w:r>
        <w:rPr>
          <w:rFonts w:hint="eastAsia" w:ascii="仿宋_GB2312" w:hAnsi="仿宋_GB2312" w:eastAsia="仿宋_GB2312"/>
          <w:sz w:val="32"/>
          <w:szCs w:val="24"/>
          <w:lang w:val="en-US" w:eastAsia="zh-CN"/>
        </w:rPr>
        <w:t>0辆</w:t>
      </w:r>
      <w:r>
        <w:rPr>
          <w:rFonts w:hint="eastAsia" w:ascii="仿宋_GB2312" w:hAnsi="仿宋_GB2312" w:eastAsia="仿宋_GB2312"/>
          <w:sz w:val="32"/>
          <w:szCs w:val="24"/>
          <w:lang w:val="en-US"/>
        </w:rPr>
        <w:t>。</w:t>
      </w:r>
    </w:p>
    <w:p>
      <w:pPr>
        <w:spacing w:line="590" w:lineRule="exact"/>
        <w:ind w:firstLine="640"/>
        <w:rPr>
          <w:rFonts w:hint="default" w:eastAsia="Times New Roman"/>
          <w:sz w:val="32"/>
          <w:szCs w:val="24"/>
          <w:lang w:val="en-US"/>
        </w:rPr>
      </w:pPr>
      <w:r>
        <w:rPr>
          <w:rFonts w:hint="eastAsia" w:ascii="仿宋_GB2312" w:hAnsi="仿宋_GB2312" w:eastAsia="仿宋_GB2312"/>
          <w:b/>
          <w:sz w:val="32"/>
          <w:szCs w:val="24"/>
          <w:lang w:val="en-US"/>
        </w:rPr>
        <w:t>3.公务接待费</w:t>
      </w:r>
      <w:r>
        <w:rPr>
          <w:rFonts w:hint="eastAsia" w:ascii="仿宋_GB2312" w:hAnsi="仿宋_GB2312" w:eastAsia="仿宋_GB2312"/>
          <w:sz w:val="32"/>
          <w:szCs w:val="24"/>
          <w:lang w:val="en-US"/>
        </w:rPr>
        <w:t>年初预算为0万元，支出决算为0万元，完成年初预算的0%。决算数与年初预算数存在差异的主要原因是</w:t>
      </w:r>
      <w:r>
        <w:rPr>
          <w:rFonts w:hint="eastAsia" w:ascii="仿宋_GB2312" w:hAnsi="仿宋_GB2312" w:eastAsia="仿宋_GB2312"/>
          <w:sz w:val="32"/>
          <w:szCs w:val="24"/>
          <w:lang w:val="en-US" w:eastAsia="zh-CN"/>
        </w:rPr>
        <w:t>无</w:t>
      </w:r>
      <w:r>
        <w:rPr>
          <w:rFonts w:hint="eastAsia" w:ascii="仿宋_GB2312" w:hAnsi="仿宋_GB2312" w:eastAsia="仿宋_GB2312"/>
          <w:sz w:val="32"/>
          <w:szCs w:val="24"/>
          <w:lang w:val="en-US"/>
        </w:rPr>
        <w:t>。其中：</w:t>
      </w:r>
    </w:p>
    <w:p>
      <w:pPr>
        <w:spacing w:line="590" w:lineRule="exact"/>
        <w:ind w:firstLine="640"/>
        <w:rPr>
          <w:rFonts w:hint="eastAsia" w:ascii="仿宋_GB2312" w:hAnsi="仿宋_GB2312" w:eastAsia="仿宋_GB2312"/>
          <w:sz w:val="32"/>
          <w:szCs w:val="24"/>
          <w:lang w:val="en-US"/>
        </w:rPr>
      </w:pPr>
      <w:r>
        <w:rPr>
          <w:rFonts w:hint="eastAsia" w:ascii="仿宋_GB2312" w:hAnsi="仿宋_GB2312" w:eastAsia="仿宋_GB2312"/>
          <w:b/>
          <w:sz w:val="32"/>
          <w:szCs w:val="24"/>
          <w:lang w:val="en-US"/>
        </w:rPr>
        <w:t>外宾接待支出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万元。主要用于</w:t>
      </w:r>
      <w:r>
        <w:rPr>
          <w:rFonts w:hint="eastAsia" w:ascii="仿宋_GB2312" w:hAnsi="仿宋_GB2312" w:eastAsia="仿宋_GB2312"/>
          <w:sz w:val="32"/>
          <w:szCs w:val="24"/>
          <w:lang w:val="en-US" w:eastAsia="zh-CN"/>
        </w:rPr>
        <w:t>无</w:t>
      </w:r>
      <w:r>
        <w:rPr>
          <w:rFonts w:hint="eastAsia" w:ascii="仿宋_GB2312" w:hAnsi="仿宋_GB2312" w:eastAsia="仿宋_GB2312"/>
          <w:sz w:val="32"/>
          <w:szCs w:val="24"/>
          <w:lang w:val="en-US"/>
        </w:rPr>
        <w:t>。2021年共接待国（境）外来访团组</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个、来访外宾</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人次（不包括陪同人员）。</w:t>
      </w:r>
    </w:p>
    <w:p>
      <w:pPr>
        <w:spacing w:line="590" w:lineRule="exact"/>
        <w:ind w:firstLine="640"/>
        <w:rPr>
          <w:rFonts w:hint="default" w:eastAsia="Times New Roman"/>
          <w:kern w:val="0"/>
          <w:sz w:val="18"/>
          <w:szCs w:val="24"/>
          <w:lang w:val="zh-CN"/>
        </w:rPr>
      </w:pPr>
      <w:r>
        <w:rPr>
          <w:rFonts w:hint="eastAsia" w:ascii="仿宋_GB2312" w:hAnsi="仿宋_GB2312" w:eastAsia="仿宋_GB2312"/>
          <w:b/>
          <w:sz w:val="32"/>
          <w:szCs w:val="24"/>
          <w:lang w:val="en-US"/>
        </w:rPr>
        <w:t>其他国内公务接待支出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万元。主要用于</w:t>
      </w:r>
      <w:r>
        <w:rPr>
          <w:rFonts w:hint="eastAsia" w:ascii="仿宋_GB2312" w:hAnsi="仿宋_GB2312" w:eastAsia="仿宋_GB2312"/>
          <w:sz w:val="32"/>
          <w:szCs w:val="24"/>
          <w:lang w:val="en-US" w:eastAsia="zh-CN"/>
        </w:rPr>
        <w:t>无</w:t>
      </w:r>
      <w:r>
        <w:rPr>
          <w:rFonts w:hint="eastAsia" w:ascii="仿宋_GB2312" w:hAnsi="仿宋_GB2312" w:eastAsia="仿宋_GB2312"/>
          <w:sz w:val="32"/>
          <w:szCs w:val="24"/>
          <w:lang w:val="en-US"/>
        </w:rPr>
        <w:t>。2021年共接待国内来访团组</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个、来宾</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人次（不包括陪同人员）。</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八、政府性基金预算财政拨款支出决算情况说明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2021年度政府性基金预算财政拨款支出年初预算为0万元，支出决算为0万元，完成年初预算的0%。</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九、机关运行经费支出情况说明</w:t>
      </w:r>
    </w:p>
    <w:p>
      <w:pPr>
        <w:spacing w:line="590" w:lineRule="exact"/>
        <w:ind w:firstLine="64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rPr>
        <w:t>2021年度机关运行经费初预算为</w:t>
      </w:r>
      <w:r>
        <w:rPr>
          <w:rFonts w:hint="eastAsia" w:ascii="仿宋_GB2312" w:hAnsi="仿宋_GB2312" w:eastAsia="仿宋_GB2312"/>
          <w:sz w:val="32"/>
          <w:szCs w:val="24"/>
          <w:lang w:val="en-US" w:eastAsia="zh-CN"/>
        </w:rPr>
        <w:t>16</w:t>
      </w:r>
      <w:r>
        <w:rPr>
          <w:rFonts w:hint="eastAsia" w:ascii="仿宋_GB2312" w:hAnsi="仿宋_GB2312" w:eastAsia="仿宋_GB2312"/>
          <w:sz w:val="32"/>
          <w:szCs w:val="24"/>
          <w:lang w:val="en-US"/>
        </w:rPr>
        <w:t>万元，支出决算为22.14万元，完成年初预算的</w:t>
      </w:r>
      <w:r>
        <w:rPr>
          <w:rFonts w:hint="eastAsia" w:ascii="仿宋_GB2312" w:hAnsi="仿宋_GB2312" w:eastAsia="仿宋_GB2312"/>
          <w:sz w:val="32"/>
          <w:szCs w:val="24"/>
          <w:lang w:val="en-US" w:eastAsia="zh-CN"/>
        </w:rPr>
        <w:t>138</w:t>
      </w:r>
      <w:r>
        <w:rPr>
          <w:rFonts w:hint="eastAsia" w:ascii="仿宋_GB2312" w:hAnsi="仿宋_GB2312" w:eastAsia="仿宋_GB2312"/>
          <w:sz w:val="32"/>
          <w:szCs w:val="24"/>
          <w:lang w:val="en-US"/>
        </w:rPr>
        <w:t>%。决算数与年初预算数存在差异的主要原因是</w:t>
      </w:r>
      <w:r>
        <w:rPr>
          <w:rFonts w:hint="eastAsia" w:ascii="仿宋_GB2312" w:hAnsi="仿宋_GB2312" w:eastAsia="仿宋_GB2312"/>
          <w:sz w:val="32"/>
          <w:szCs w:val="24"/>
          <w:lang w:val="en-US" w:eastAsia="zh-CN"/>
        </w:rPr>
        <w:t>年初预算偏少。</w:t>
      </w:r>
    </w:p>
    <w:p>
      <w:pPr>
        <w:spacing w:line="590" w:lineRule="exact"/>
        <w:ind w:firstLine="640"/>
        <w:rPr>
          <w:rFonts w:hint="eastAsia"/>
          <w:lang w:val="en-US" w:eastAsia="zh-CN"/>
        </w:rPr>
      </w:pPr>
      <w:r>
        <w:rPr>
          <w:rFonts w:hint="eastAsia" w:ascii="仿宋_GB2312" w:eastAsia="仿宋_GB2312"/>
          <w:sz w:val="32"/>
          <w:szCs w:val="24"/>
        </w:rPr>
        <w:t>202</w:t>
      </w:r>
      <w:r>
        <w:rPr>
          <w:rFonts w:hint="eastAsia" w:ascii="仿宋_GB2312" w:eastAsia="仿宋_GB2312"/>
          <w:sz w:val="32"/>
          <w:szCs w:val="24"/>
          <w:lang w:val="en-US" w:eastAsia="zh-CN"/>
        </w:rPr>
        <w:t>1</w:t>
      </w:r>
      <w:r>
        <w:rPr>
          <w:rFonts w:hint="eastAsia" w:ascii="仿宋_GB2312" w:eastAsia="仿宋_GB2312"/>
          <w:sz w:val="32"/>
          <w:szCs w:val="24"/>
        </w:rPr>
        <w:t>年度</w:t>
      </w:r>
      <w:r>
        <w:rPr>
          <w:rFonts w:hint="eastAsia" w:ascii="仿宋_GB2312" w:hAnsi="仿宋_GB2312" w:eastAsia="仿宋_GB2312"/>
          <w:sz w:val="32"/>
          <w:szCs w:val="24"/>
          <w:lang w:val="en-US"/>
        </w:rPr>
        <w:t>机关运行经费</w:t>
      </w:r>
      <w:r>
        <w:rPr>
          <w:rFonts w:hint="eastAsia" w:ascii="仿宋_GB2312" w:eastAsia="仿宋_GB2312"/>
          <w:sz w:val="32"/>
          <w:szCs w:val="24"/>
        </w:rPr>
        <w:t>支出</w:t>
      </w:r>
      <w:r>
        <w:rPr>
          <w:rFonts w:hint="eastAsia" w:ascii="仿宋_GB2312" w:eastAsia="仿宋_GB2312"/>
          <w:sz w:val="32"/>
          <w:szCs w:val="24"/>
          <w:lang w:val="en-US" w:eastAsia="zh-CN"/>
        </w:rPr>
        <w:t>22.14</w:t>
      </w:r>
      <w:r>
        <w:rPr>
          <w:rFonts w:hint="eastAsia" w:ascii="仿宋_GB2312" w:eastAsia="仿宋_GB2312"/>
          <w:sz w:val="32"/>
          <w:szCs w:val="24"/>
        </w:rPr>
        <w:t>万元</w:t>
      </w:r>
      <w:r>
        <w:rPr>
          <w:rFonts w:hint="eastAsia" w:ascii="仿宋_GB2312" w:eastAsia="仿宋_GB2312"/>
          <w:sz w:val="32"/>
          <w:szCs w:val="24"/>
          <w:lang w:val="en-US" w:eastAsia="zh-CN"/>
        </w:rPr>
        <w:t>,</w:t>
      </w:r>
      <w:r>
        <w:rPr>
          <w:rFonts w:hint="eastAsia" w:ascii="仿宋_GB2312" w:eastAsia="仿宋_GB2312"/>
          <w:sz w:val="32"/>
          <w:szCs w:val="24"/>
          <w:lang w:eastAsia="zh-CN"/>
        </w:rPr>
        <w:t>较</w:t>
      </w:r>
      <w:r>
        <w:rPr>
          <w:rFonts w:hint="eastAsia" w:ascii="仿宋_GB2312" w:eastAsia="仿宋_GB2312"/>
          <w:sz w:val="32"/>
          <w:szCs w:val="24"/>
        </w:rPr>
        <w:t>上年度增加</w:t>
      </w:r>
      <w:r>
        <w:rPr>
          <w:rFonts w:hint="eastAsia" w:ascii="仿宋_GB2312" w:eastAsia="仿宋_GB2312"/>
          <w:sz w:val="32"/>
          <w:szCs w:val="24"/>
          <w:lang w:val="en-US" w:eastAsia="zh-CN"/>
        </w:rPr>
        <w:t>21.38</w:t>
      </w:r>
      <w:r>
        <w:rPr>
          <w:rFonts w:hint="eastAsia" w:ascii="仿宋_GB2312" w:eastAsia="仿宋_GB2312"/>
          <w:sz w:val="32"/>
          <w:szCs w:val="24"/>
        </w:rPr>
        <w:t>万元，增长</w:t>
      </w:r>
      <w:r>
        <w:rPr>
          <w:rFonts w:hint="eastAsia" w:ascii="仿宋_GB2312" w:eastAsia="仿宋_GB2312"/>
          <w:sz w:val="32"/>
          <w:szCs w:val="24"/>
          <w:lang w:val="en-US" w:eastAsia="zh-CN"/>
        </w:rPr>
        <w:t>281.32</w:t>
      </w:r>
      <w:r>
        <w:rPr>
          <w:rFonts w:hint="eastAsia" w:ascii="仿宋_GB2312" w:eastAsia="仿宋_GB2312"/>
          <w:sz w:val="32"/>
          <w:szCs w:val="24"/>
        </w:rPr>
        <w:t>%。</w:t>
      </w:r>
      <w:r>
        <w:rPr>
          <w:rFonts w:hint="eastAsia" w:ascii="仿宋_GB2312" w:eastAsia="仿宋_GB2312"/>
          <w:sz w:val="32"/>
          <w:szCs w:val="24"/>
          <w:lang w:eastAsia="zh-CN"/>
        </w:rPr>
        <w:t>增长的</w:t>
      </w:r>
      <w:bookmarkStart w:id="0" w:name="_GoBack"/>
      <w:bookmarkEnd w:id="0"/>
      <w:r>
        <w:rPr>
          <w:rFonts w:hint="eastAsia" w:ascii="仿宋_GB2312" w:eastAsia="仿宋_GB2312"/>
          <w:sz w:val="32"/>
          <w:szCs w:val="24"/>
        </w:rPr>
        <w:t>主要原因是主要原因</w:t>
      </w:r>
      <w:r>
        <w:rPr>
          <w:rFonts w:hint="eastAsia" w:ascii="仿宋_GB2312" w:eastAsia="仿宋_GB2312"/>
          <w:sz w:val="32"/>
          <w:szCs w:val="24"/>
          <w:lang w:val="en-US" w:eastAsia="zh-CN"/>
        </w:rPr>
        <w:t>一</w:t>
      </w:r>
      <w:r>
        <w:rPr>
          <w:rFonts w:hint="eastAsia" w:ascii="仿宋_GB2312" w:eastAsia="仿宋_GB2312"/>
          <w:sz w:val="32"/>
          <w:szCs w:val="24"/>
        </w:rPr>
        <w:t>是财政配套帮扶办公经费2020年未支付到位</w:t>
      </w:r>
      <w:r>
        <w:rPr>
          <w:rFonts w:hint="eastAsia" w:ascii="仿宋_GB2312" w:eastAsia="仿宋_GB2312"/>
          <w:sz w:val="32"/>
          <w:szCs w:val="24"/>
          <w:lang w:val="en-US" w:eastAsia="zh-CN"/>
        </w:rPr>
        <w:t>,2021年支付到位；二是</w:t>
      </w:r>
      <w:r>
        <w:rPr>
          <w:rFonts w:hint="eastAsia" w:ascii="仿宋_GB2312" w:eastAsia="仿宋_GB2312"/>
          <w:sz w:val="32"/>
          <w:szCs w:val="24"/>
        </w:rPr>
        <w:t>财政拨款科目变化</w:t>
      </w:r>
      <w:r>
        <w:rPr>
          <w:rFonts w:hint="eastAsia" w:ascii="仿宋_GB2312" w:eastAsia="仿宋_GB2312"/>
          <w:sz w:val="32"/>
          <w:szCs w:val="24"/>
          <w:lang w:val="en-US" w:eastAsia="zh-CN"/>
        </w:rPr>
        <w:t>，造成差异</w:t>
      </w:r>
      <w:r>
        <w:rPr>
          <w:rFonts w:hint="eastAsia" w:ascii="仿宋_GB2312" w:eastAsia="仿宋_GB2312"/>
          <w:sz w:val="32"/>
          <w:szCs w:val="24"/>
        </w:rPr>
        <w:t>。</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十、政府采购支出情况说明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十一、国有资产占用情况说明</w:t>
      </w:r>
    </w:p>
    <w:p>
      <w:pPr>
        <w:spacing w:line="590" w:lineRule="exact"/>
        <w:ind w:firstLine="640"/>
        <w:rPr>
          <w:rFonts w:hint="default" w:eastAsia="Times New Roman"/>
          <w:kern w:val="0"/>
          <w:sz w:val="18"/>
          <w:szCs w:val="24"/>
          <w:lang w:val="en-US"/>
        </w:rPr>
      </w:pPr>
      <w:r>
        <w:rPr>
          <w:rFonts w:hint="eastAsia" w:ascii="仿宋_GB2312" w:hAnsi="仿宋_GB2312" w:eastAsia="仿宋_GB2312"/>
          <w:sz w:val="32"/>
          <w:szCs w:val="24"/>
          <w:lang w:val="en-US"/>
        </w:rPr>
        <w:t>2021年期末</w:t>
      </w:r>
      <w:r>
        <w:rPr>
          <w:rFonts w:hint="eastAsia" w:ascii="仿宋_GB2312" w:hAnsi="仿宋_GB2312" w:eastAsia="仿宋_GB2312" w:cs="Times New Roman"/>
          <w:sz w:val="32"/>
          <w:szCs w:val="24"/>
          <w:lang w:val="en-US"/>
        </w:rPr>
        <w:t>，我单位共有车辆0辆，其中：省级领导干部用车0辆、主要领导干部用车0辆、机要</w:t>
      </w:r>
      <w:r>
        <w:rPr>
          <w:rFonts w:hint="eastAsia" w:ascii="仿宋_GB2312" w:hAnsi="仿宋_GB2312" w:eastAsia="仿宋_GB2312"/>
          <w:sz w:val="32"/>
          <w:szCs w:val="24"/>
          <w:lang w:val="en-US"/>
        </w:rPr>
        <w:t>通信用车0辆、应急保障车0辆、执法执勤用车0辆、特种专业技术用车0辆、离退休干部用车0辆、其他用车0辆；单位价值50万元以上通用设备0台（套），单位价值100万元以上专用设备0台（套）。</w:t>
      </w:r>
    </w:p>
    <w:p>
      <w:pPr>
        <w:spacing w:line="590" w:lineRule="exact"/>
        <w:ind w:firstLine="640"/>
        <w:rPr>
          <w:rFonts w:hint="eastAsia" w:ascii="黑体" w:hAnsi="黑体" w:eastAsia="黑体"/>
          <w:sz w:val="32"/>
          <w:szCs w:val="24"/>
          <w:lang w:val="en-US"/>
        </w:rPr>
      </w:pPr>
      <w:r>
        <w:rPr>
          <w:rFonts w:hint="eastAsia" w:ascii="黑体" w:hAnsi="黑体" w:eastAsia="黑体"/>
          <w:sz w:val="32"/>
          <w:szCs w:val="24"/>
          <w:lang w:val="en-US"/>
        </w:rPr>
        <w:t>十二、预算绩效情况说明</w:t>
      </w:r>
    </w:p>
    <w:p>
      <w:pPr>
        <w:spacing w:line="590" w:lineRule="exact"/>
        <w:ind w:firstLine="640"/>
        <w:rPr>
          <w:rFonts w:hint="eastAsia" w:ascii="仿宋_GB2312" w:hAnsi="仿宋_GB2312" w:eastAsia="仿宋_GB2312" w:cs="Times New Roman"/>
          <w:sz w:val="32"/>
          <w:szCs w:val="24"/>
          <w:lang w:val="en-US"/>
        </w:rPr>
      </w:pPr>
      <w:r>
        <w:rPr>
          <w:rFonts w:hint="eastAsia" w:ascii="仿宋_GB2312" w:hAnsi="仿宋_GB2312" w:eastAsia="仿宋_GB2312" w:cs="Times New Roman"/>
          <w:sz w:val="32"/>
          <w:szCs w:val="24"/>
          <w:lang w:val="en-US"/>
        </w:rPr>
        <w:t>（一）绩效管理工作开展情况。</w:t>
      </w:r>
    </w:p>
    <w:p>
      <w:pPr>
        <w:spacing w:line="590" w:lineRule="exact"/>
        <w:ind w:firstLine="640"/>
        <w:rPr>
          <w:rFonts w:hint="eastAsia" w:ascii="仿宋_GB2312" w:hAnsi="仿宋_GB2312" w:eastAsia="仿宋_GB2312" w:cs="Times New Roman"/>
          <w:sz w:val="32"/>
          <w:szCs w:val="24"/>
          <w:lang w:val="en-US"/>
        </w:rPr>
      </w:pPr>
      <w:r>
        <w:rPr>
          <w:rFonts w:hint="eastAsia" w:ascii="仿宋_GB2312" w:hAnsi="仿宋_GB2312" w:eastAsia="仿宋_GB2312" w:cs="Times New Roman"/>
          <w:sz w:val="32"/>
          <w:szCs w:val="24"/>
          <w:lang w:val="en-US"/>
        </w:rPr>
        <w:t>202</w:t>
      </w:r>
      <w:r>
        <w:rPr>
          <w:rFonts w:hint="eastAsia" w:ascii="仿宋_GB2312" w:hAnsi="仿宋_GB2312" w:eastAsia="仿宋_GB2312" w:cs="Times New Roman"/>
          <w:sz w:val="32"/>
          <w:szCs w:val="24"/>
          <w:lang w:val="en-US" w:eastAsia="zh-CN"/>
        </w:rPr>
        <w:t>1</w:t>
      </w:r>
      <w:r>
        <w:rPr>
          <w:rFonts w:hint="eastAsia" w:ascii="仿宋_GB2312" w:hAnsi="仿宋_GB2312" w:eastAsia="仿宋_GB2312" w:cs="Times New Roman"/>
          <w:sz w:val="32"/>
          <w:szCs w:val="24"/>
          <w:lang w:val="en-US"/>
        </w:rPr>
        <w:t xml:space="preserve"> 年义马市总工会加强了绩效评价管理与资金支付监管的相互融合，强化了预算绩效在预算编制、执行中的全过程管理。但绩效评价仍处于积极探索阶段，部门整体制度保障需要进一步完善，特别是机关现有规章制度中一些不适用的内容，需要结合当前实际情况予以修订。部门内部控制机制需要进一步健全，特别是单位主要负责人的变动后，相关机制需要及时调整。部门整体绩效评价的意识还不浓厚，需要加强绩效评价方面的培训。</w:t>
      </w:r>
    </w:p>
    <w:p>
      <w:pPr>
        <w:spacing w:line="590" w:lineRule="exact"/>
        <w:ind w:firstLine="640"/>
        <w:rPr>
          <w:rFonts w:hint="eastAsia" w:ascii="仿宋_GB2312" w:hAnsi="仿宋_GB2312" w:eastAsia="仿宋_GB2312" w:cs="Times New Roman"/>
          <w:sz w:val="32"/>
          <w:szCs w:val="24"/>
          <w:lang w:val="en-US"/>
        </w:rPr>
      </w:pPr>
      <w:r>
        <w:rPr>
          <w:rFonts w:hint="eastAsia" w:ascii="仿宋_GB2312" w:hAnsi="仿宋_GB2312" w:eastAsia="仿宋_GB2312" w:cs="Times New Roman"/>
          <w:sz w:val="32"/>
          <w:szCs w:val="24"/>
          <w:lang w:val="en-US"/>
        </w:rPr>
        <w:t>（二）项目绩效自评结果。</w:t>
      </w:r>
    </w:p>
    <w:p>
      <w:pPr>
        <w:spacing w:line="590" w:lineRule="exact"/>
        <w:ind w:firstLine="640"/>
        <w:rPr>
          <w:rFonts w:hint="eastAsia" w:ascii="仿宋_GB2312" w:hAnsi="仿宋_GB2312" w:eastAsia="仿宋_GB2312" w:cs="Times New Roman"/>
          <w:sz w:val="32"/>
          <w:szCs w:val="24"/>
          <w:lang w:val="en-US"/>
        </w:rPr>
      </w:pPr>
      <w:r>
        <w:rPr>
          <w:rFonts w:hint="eastAsia" w:ascii="仿宋_GB2312" w:hAnsi="仿宋_GB2312" w:eastAsia="仿宋_GB2312" w:cs="Times New Roman"/>
          <w:sz w:val="32"/>
          <w:szCs w:val="24"/>
          <w:lang w:val="en-US"/>
        </w:rPr>
        <w:t>义马市总工会202</w:t>
      </w:r>
      <w:r>
        <w:rPr>
          <w:rFonts w:hint="eastAsia" w:ascii="仿宋_GB2312" w:hAnsi="仿宋_GB2312" w:eastAsia="仿宋_GB2312" w:cs="Times New Roman"/>
          <w:sz w:val="32"/>
          <w:szCs w:val="24"/>
          <w:lang w:val="en-US" w:eastAsia="zh-CN"/>
        </w:rPr>
        <w:t>1</w:t>
      </w:r>
      <w:r>
        <w:rPr>
          <w:rFonts w:hint="eastAsia" w:ascii="仿宋_GB2312" w:hAnsi="仿宋_GB2312" w:eastAsia="仿宋_GB2312" w:cs="Times New Roman"/>
          <w:sz w:val="32"/>
          <w:szCs w:val="24"/>
          <w:lang w:val="en-US"/>
        </w:rPr>
        <w:t>年度未安排项目资金。</w:t>
      </w:r>
    </w:p>
    <w:p>
      <w:pPr>
        <w:spacing w:line="590" w:lineRule="exact"/>
        <w:ind w:firstLine="640"/>
        <w:rPr>
          <w:rFonts w:hint="eastAsia" w:ascii="仿宋_GB2312" w:hAnsi="仿宋_GB2312" w:eastAsia="仿宋_GB2312" w:cs="Times New Roman"/>
          <w:sz w:val="32"/>
          <w:szCs w:val="24"/>
          <w:lang w:val="en-US"/>
        </w:rPr>
      </w:pPr>
      <w:r>
        <w:rPr>
          <w:rFonts w:hint="eastAsia" w:ascii="仿宋_GB2312" w:hAnsi="仿宋_GB2312" w:eastAsia="仿宋_GB2312" w:cs="Times New Roman"/>
          <w:sz w:val="32"/>
          <w:szCs w:val="24"/>
          <w:lang w:val="en-US"/>
        </w:rPr>
        <w:t>（三）以单位为主体开展的重点绩效评价结果。</w:t>
      </w:r>
    </w:p>
    <w:p>
      <w:pPr>
        <w:spacing w:line="590" w:lineRule="exact"/>
        <w:ind w:firstLine="640"/>
        <w:rPr>
          <w:rFonts w:hint="eastAsia" w:ascii="仿宋_GB2312" w:hAnsi="仿宋_GB2312" w:eastAsia="仿宋_GB2312" w:cs="Times New Roman"/>
          <w:sz w:val="32"/>
          <w:szCs w:val="24"/>
          <w:lang w:val="zh-CN"/>
        </w:rPr>
      </w:pPr>
      <w:r>
        <w:rPr>
          <w:rFonts w:hint="eastAsia" w:ascii="仿宋_GB2312" w:hAnsi="仿宋_GB2312" w:eastAsia="仿宋_GB2312" w:cs="Times New Roman"/>
          <w:sz w:val="32"/>
          <w:szCs w:val="24"/>
          <w:lang w:val="en-US"/>
        </w:rPr>
        <w:t>202</w:t>
      </w:r>
      <w:r>
        <w:rPr>
          <w:rFonts w:hint="eastAsia" w:ascii="仿宋_GB2312" w:hAnsi="仿宋_GB2312" w:eastAsia="仿宋_GB2312" w:cs="Times New Roman"/>
          <w:sz w:val="32"/>
          <w:szCs w:val="24"/>
          <w:lang w:val="en-US" w:eastAsia="zh-CN"/>
        </w:rPr>
        <w:t>1</w:t>
      </w:r>
      <w:r>
        <w:rPr>
          <w:rFonts w:hint="eastAsia" w:ascii="仿宋_GB2312" w:hAnsi="仿宋_GB2312" w:eastAsia="仿宋_GB2312" w:cs="Times New Roman"/>
          <w:sz w:val="32"/>
          <w:szCs w:val="24"/>
          <w:lang w:val="en-US"/>
        </w:rPr>
        <w:t>年市总工会积极探索绩效评价体系，重点绩效评价良好。</w:t>
      </w:r>
    </w:p>
    <w:p>
      <w:pPr>
        <w:widowControl/>
        <w:jc w:val="left"/>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pStyle w:val="2"/>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OTc4YWU1MTMwNDcyY2ZlNTdkNWU1OTFkNTFkNjYifQ=="/>
  </w:docVars>
  <w:rsids>
    <w:rsidRoot w:val="000270E8"/>
    <w:rsid w:val="000270E8"/>
    <w:rsid w:val="000335B5"/>
    <w:rsid w:val="00057AFD"/>
    <w:rsid w:val="00076410"/>
    <w:rsid w:val="00081835"/>
    <w:rsid w:val="000904B3"/>
    <w:rsid w:val="000C073B"/>
    <w:rsid w:val="000C1142"/>
    <w:rsid w:val="001003F8"/>
    <w:rsid w:val="00144159"/>
    <w:rsid w:val="001718A8"/>
    <w:rsid w:val="00182842"/>
    <w:rsid w:val="00184D53"/>
    <w:rsid w:val="001905F2"/>
    <w:rsid w:val="00197592"/>
    <w:rsid w:val="001C32F0"/>
    <w:rsid w:val="001D61B1"/>
    <w:rsid w:val="001F5040"/>
    <w:rsid w:val="002006EB"/>
    <w:rsid w:val="00214AE1"/>
    <w:rsid w:val="00260D70"/>
    <w:rsid w:val="00281114"/>
    <w:rsid w:val="00282C7F"/>
    <w:rsid w:val="00287811"/>
    <w:rsid w:val="00292B4B"/>
    <w:rsid w:val="002A6352"/>
    <w:rsid w:val="002B3F94"/>
    <w:rsid w:val="002C171D"/>
    <w:rsid w:val="002E6A86"/>
    <w:rsid w:val="00304D04"/>
    <w:rsid w:val="00305B88"/>
    <w:rsid w:val="00315FEB"/>
    <w:rsid w:val="0041489C"/>
    <w:rsid w:val="0042585F"/>
    <w:rsid w:val="00445CAC"/>
    <w:rsid w:val="00472E19"/>
    <w:rsid w:val="00487869"/>
    <w:rsid w:val="004D5275"/>
    <w:rsid w:val="004F63DB"/>
    <w:rsid w:val="00505190"/>
    <w:rsid w:val="00507364"/>
    <w:rsid w:val="00546F7C"/>
    <w:rsid w:val="005A0C2F"/>
    <w:rsid w:val="005B1AE2"/>
    <w:rsid w:val="005E3397"/>
    <w:rsid w:val="00607D67"/>
    <w:rsid w:val="006228C4"/>
    <w:rsid w:val="00636C37"/>
    <w:rsid w:val="006512DD"/>
    <w:rsid w:val="00656BEF"/>
    <w:rsid w:val="00656D75"/>
    <w:rsid w:val="00657E86"/>
    <w:rsid w:val="00673EF7"/>
    <w:rsid w:val="006841E9"/>
    <w:rsid w:val="0069449E"/>
    <w:rsid w:val="006C07F0"/>
    <w:rsid w:val="006C644A"/>
    <w:rsid w:val="006C7D84"/>
    <w:rsid w:val="007148E8"/>
    <w:rsid w:val="00733DAA"/>
    <w:rsid w:val="00742BA0"/>
    <w:rsid w:val="00753545"/>
    <w:rsid w:val="00764156"/>
    <w:rsid w:val="007706D7"/>
    <w:rsid w:val="007879ED"/>
    <w:rsid w:val="007A48A3"/>
    <w:rsid w:val="007C029F"/>
    <w:rsid w:val="007C7F49"/>
    <w:rsid w:val="007D2A21"/>
    <w:rsid w:val="00843461"/>
    <w:rsid w:val="008651E7"/>
    <w:rsid w:val="00872946"/>
    <w:rsid w:val="0088023A"/>
    <w:rsid w:val="008858FB"/>
    <w:rsid w:val="00894B41"/>
    <w:rsid w:val="008B5427"/>
    <w:rsid w:val="008C7CD0"/>
    <w:rsid w:val="00903F6B"/>
    <w:rsid w:val="009173F9"/>
    <w:rsid w:val="009308CB"/>
    <w:rsid w:val="00950270"/>
    <w:rsid w:val="00962F58"/>
    <w:rsid w:val="00975A04"/>
    <w:rsid w:val="00987E71"/>
    <w:rsid w:val="009F0FBB"/>
    <w:rsid w:val="009F546E"/>
    <w:rsid w:val="00A079F0"/>
    <w:rsid w:val="00A42F43"/>
    <w:rsid w:val="00A51982"/>
    <w:rsid w:val="00A57BF7"/>
    <w:rsid w:val="00A71DC1"/>
    <w:rsid w:val="00A83D8A"/>
    <w:rsid w:val="00A93E7D"/>
    <w:rsid w:val="00AA260E"/>
    <w:rsid w:val="00AA44CB"/>
    <w:rsid w:val="00AA67CD"/>
    <w:rsid w:val="00AD6761"/>
    <w:rsid w:val="00AE2FEA"/>
    <w:rsid w:val="00AE600E"/>
    <w:rsid w:val="00B0083B"/>
    <w:rsid w:val="00B040BC"/>
    <w:rsid w:val="00B209B8"/>
    <w:rsid w:val="00B20BBC"/>
    <w:rsid w:val="00B249F3"/>
    <w:rsid w:val="00B649BE"/>
    <w:rsid w:val="00B653A5"/>
    <w:rsid w:val="00B710DD"/>
    <w:rsid w:val="00BE5A85"/>
    <w:rsid w:val="00BF4E6A"/>
    <w:rsid w:val="00BF5718"/>
    <w:rsid w:val="00C13474"/>
    <w:rsid w:val="00C3106E"/>
    <w:rsid w:val="00C60609"/>
    <w:rsid w:val="00C95CC1"/>
    <w:rsid w:val="00CA3F44"/>
    <w:rsid w:val="00CB03ED"/>
    <w:rsid w:val="00CE212D"/>
    <w:rsid w:val="00CE4B38"/>
    <w:rsid w:val="00D1321A"/>
    <w:rsid w:val="00D30ADF"/>
    <w:rsid w:val="00D33CF8"/>
    <w:rsid w:val="00D6315E"/>
    <w:rsid w:val="00D652C2"/>
    <w:rsid w:val="00D74EE2"/>
    <w:rsid w:val="00D83E19"/>
    <w:rsid w:val="00D86CAD"/>
    <w:rsid w:val="00DA00C9"/>
    <w:rsid w:val="00DB200E"/>
    <w:rsid w:val="00DB65F5"/>
    <w:rsid w:val="00E01C3E"/>
    <w:rsid w:val="00E13099"/>
    <w:rsid w:val="00E4339F"/>
    <w:rsid w:val="00E60B05"/>
    <w:rsid w:val="00E629EA"/>
    <w:rsid w:val="00E6777C"/>
    <w:rsid w:val="00EB05A3"/>
    <w:rsid w:val="00ED38B7"/>
    <w:rsid w:val="00EE051D"/>
    <w:rsid w:val="00F0131A"/>
    <w:rsid w:val="00F14C17"/>
    <w:rsid w:val="00F17041"/>
    <w:rsid w:val="00F218CF"/>
    <w:rsid w:val="00F44937"/>
    <w:rsid w:val="00F61A47"/>
    <w:rsid w:val="00F84422"/>
    <w:rsid w:val="00F95455"/>
    <w:rsid w:val="00FA574D"/>
    <w:rsid w:val="00FC2588"/>
    <w:rsid w:val="00FE7AD9"/>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0E4D5CB6"/>
    <w:rsid w:val="0F576A40"/>
    <w:rsid w:val="10BD36F6"/>
    <w:rsid w:val="11B12A00"/>
    <w:rsid w:val="11BF0649"/>
    <w:rsid w:val="123E3E08"/>
    <w:rsid w:val="13D22E22"/>
    <w:rsid w:val="161C2DFF"/>
    <w:rsid w:val="16373578"/>
    <w:rsid w:val="16D3336B"/>
    <w:rsid w:val="17806C36"/>
    <w:rsid w:val="17A74F62"/>
    <w:rsid w:val="18A47774"/>
    <w:rsid w:val="1B2E6FD8"/>
    <w:rsid w:val="1B877D21"/>
    <w:rsid w:val="1C4319A9"/>
    <w:rsid w:val="1D9A4DA5"/>
    <w:rsid w:val="1E443B4B"/>
    <w:rsid w:val="1E994F4A"/>
    <w:rsid w:val="1EAF0224"/>
    <w:rsid w:val="1F2230A4"/>
    <w:rsid w:val="1F29363D"/>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292053"/>
    <w:rsid w:val="31DD00BF"/>
    <w:rsid w:val="3293174C"/>
    <w:rsid w:val="32BB38D4"/>
    <w:rsid w:val="32C9376D"/>
    <w:rsid w:val="33780472"/>
    <w:rsid w:val="33AF0905"/>
    <w:rsid w:val="340F36E5"/>
    <w:rsid w:val="343114E5"/>
    <w:rsid w:val="355932F4"/>
    <w:rsid w:val="35611882"/>
    <w:rsid w:val="36746FC3"/>
    <w:rsid w:val="368763AE"/>
    <w:rsid w:val="395D59E7"/>
    <w:rsid w:val="39A93932"/>
    <w:rsid w:val="3A915562"/>
    <w:rsid w:val="3B8D4765"/>
    <w:rsid w:val="3BEB698B"/>
    <w:rsid w:val="3C000DBA"/>
    <w:rsid w:val="3C771FCD"/>
    <w:rsid w:val="3DC045D3"/>
    <w:rsid w:val="3E504FFB"/>
    <w:rsid w:val="3E615CD0"/>
    <w:rsid w:val="3E9C47F6"/>
    <w:rsid w:val="3F8B0112"/>
    <w:rsid w:val="3FAB3095"/>
    <w:rsid w:val="3FE45947"/>
    <w:rsid w:val="41242965"/>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E6A87"/>
    <w:rsid w:val="5A34180B"/>
    <w:rsid w:val="5AC2203A"/>
    <w:rsid w:val="5CBB3334"/>
    <w:rsid w:val="5D115FAF"/>
    <w:rsid w:val="62811722"/>
    <w:rsid w:val="62E75A72"/>
    <w:rsid w:val="64571880"/>
    <w:rsid w:val="649125B6"/>
    <w:rsid w:val="652F4C1A"/>
    <w:rsid w:val="659366CF"/>
    <w:rsid w:val="666D37F1"/>
    <w:rsid w:val="67087D8F"/>
    <w:rsid w:val="671F687E"/>
    <w:rsid w:val="67F415F8"/>
    <w:rsid w:val="682640D1"/>
    <w:rsid w:val="684B73E5"/>
    <w:rsid w:val="68776D2D"/>
    <w:rsid w:val="6A047A2A"/>
    <w:rsid w:val="6D0D72BB"/>
    <w:rsid w:val="6EFB7548"/>
    <w:rsid w:val="6F3831C3"/>
    <w:rsid w:val="6F8B71C1"/>
    <w:rsid w:val="70753482"/>
    <w:rsid w:val="707B522A"/>
    <w:rsid w:val="73194D05"/>
    <w:rsid w:val="73A83B0E"/>
    <w:rsid w:val="741061B2"/>
    <w:rsid w:val="744D3EF9"/>
    <w:rsid w:val="74794411"/>
    <w:rsid w:val="75867C40"/>
    <w:rsid w:val="75B10B26"/>
    <w:rsid w:val="75BE41ED"/>
    <w:rsid w:val="76432199"/>
    <w:rsid w:val="76F44829"/>
    <w:rsid w:val="77A267C0"/>
    <w:rsid w:val="78882278"/>
    <w:rsid w:val="78B118A6"/>
    <w:rsid w:val="79135044"/>
    <w:rsid w:val="7A7D0F99"/>
    <w:rsid w:val="7E4A0E7C"/>
    <w:rsid w:val="7EFD44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样式 正文001 + 首行缩进:  2 字符1"/>
    <w:basedOn w:val="1"/>
    <w:unhideWhenUsed/>
    <w:qFormat/>
    <w:uiPriority w:val="0"/>
    <w:pPr>
      <w:spacing w:before="60" w:line="460" w:lineRule="exact"/>
      <w:ind w:firstLine="480" w:firstLineChars="200"/>
    </w:pPr>
    <w:rPr>
      <w:rFonts w:hint="eastAsia" w:ascii="宋体" w:hAnsi="宋体"/>
      <w:sz w:val="24"/>
      <w:szCs w:val="22"/>
    </w:rPr>
  </w:style>
  <w:style w:type="paragraph" w:styleId="3">
    <w:name w:val="Balloon Text"/>
    <w:basedOn w:val="1"/>
    <w:link w:val="18"/>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unhideWhenUsed/>
    <w:qFormat/>
    <w:uiPriority w:val="99"/>
    <w:rPr>
      <w:color w:val="800080"/>
      <w:u w:val="single"/>
    </w:rPr>
  </w:style>
  <w:style w:type="character" w:styleId="10">
    <w:name w:val="Hyperlink"/>
    <w:unhideWhenUsed/>
    <w:qFormat/>
    <w:uiPriority w:val="99"/>
    <w:rPr>
      <w:color w:val="0000FF"/>
      <w:u w:val="single"/>
    </w:rPr>
  </w:style>
  <w:style w:type="character" w:customStyle="1" w:styleId="11">
    <w:name w:val="font01"/>
    <w:qFormat/>
    <w:uiPriority w:val="0"/>
    <w:rPr>
      <w:rFonts w:hint="eastAsia" w:ascii="宋体" w:hAnsi="宋体" w:eastAsia="宋体" w:cs="宋体"/>
      <w:color w:val="000000"/>
      <w:sz w:val="22"/>
      <w:szCs w:val="22"/>
      <w:u w:val="none"/>
    </w:rPr>
  </w:style>
  <w:style w:type="character" w:customStyle="1" w:styleId="12">
    <w:name w:val="font21"/>
    <w:qFormat/>
    <w:uiPriority w:val="0"/>
    <w:rPr>
      <w:rFonts w:hint="eastAsia" w:ascii="宋体" w:hAnsi="宋体" w:eastAsia="宋体" w:cs="宋体"/>
      <w:color w:val="000000"/>
      <w:sz w:val="22"/>
      <w:szCs w:val="22"/>
      <w:u w:val="none"/>
    </w:rPr>
  </w:style>
  <w:style w:type="character" w:customStyle="1" w:styleId="13">
    <w:name w:val="页眉 Char"/>
    <w:link w:val="5"/>
    <w:qFormat/>
    <w:uiPriority w:val="99"/>
    <w:rPr>
      <w:kern w:val="2"/>
      <w:sz w:val="18"/>
      <w:szCs w:val="18"/>
    </w:rPr>
  </w:style>
  <w:style w:type="character" w:customStyle="1" w:styleId="14">
    <w:name w:val="font51"/>
    <w:qFormat/>
    <w:uiPriority w:val="0"/>
    <w:rPr>
      <w:rFonts w:hint="eastAsia" w:ascii="宋体" w:hAnsi="宋体" w:eastAsia="宋体" w:cs="宋体"/>
      <w:color w:val="000000"/>
      <w:sz w:val="24"/>
      <w:szCs w:val="24"/>
      <w:u w:val="none"/>
    </w:r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页脚 Char"/>
    <w:link w:val="4"/>
    <w:qFormat/>
    <w:uiPriority w:val="99"/>
    <w:rPr>
      <w:kern w:val="2"/>
      <w:sz w:val="18"/>
      <w:szCs w:val="18"/>
    </w:rPr>
  </w:style>
  <w:style w:type="character" w:customStyle="1" w:styleId="17">
    <w:name w:val="font41"/>
    <w:qFormat/>
    <w:uiPriority w:val="0"/>
    <w:rPr>
      <w:rFonts w:hint="eastAsia" w:ascii="宋体" w:hAnsi="宋体" w:eastAsia="宋体" w:cs="宋体"/>
      <w:color w:val="000000"/>
      <w:sz w:val="24"/>
      <w:szCs w:val="24"/>
      <w:u w:val="none"/>
    </w:rPr>
  </w:style>
  <w:style w:type="character" w:customStyle="1" w:styleId="18">
    <w:name w:val="批注框文本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30</Pages>
  <Words>7540</Words>
  <Characters>8574</Characters>
  <Lines>60</Lines>
  <Paragraphs>16</Paragraphs>
  <TotalTime>3</TotalTime>
  <ScaleCrop>false</ScaleCrop>
  <LinksUpToDate>false</LinksUpToDate>
  <CharactersWithSpaces>8915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  </cp:lastModifiedBy>
  <cp:lastPrinted>2022-09-30T08:48:00Z</cp:lastPrinted>
  <dcterms:modified xsi:type="dcterms:W3CDTF">2023-05-23T09:13:55Z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28ECA7F09F3646798A6CD9AD7E0DB754</vt:lpwstr>
  </property>
</Properties>
</file>