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义马市粮油流通储备管理中心</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both"/>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none"/>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highlight w:val="none"/>
        </w:rPr>
      </w:pPr>
      <w:r>
        <w:rPr>
          <w:rFonts w:hint="eastAsia" w:ascii="黑体" w:hAnsi="黑体" w:eastAsia="黑体" w:cs="黑体"/>
          <w:sz w:val="32"/>
          <w:szCs w:val="32"/>
        </w:rPr>
        <w:t>第一部分　　</w:t>
      </w:r>
      <w:r>
        <w:rPr>
          <w:rFonts w:hint="eastAsia" w:ascii="黑体" w:hAnsi="黑体" w:eastAsia="黑体" w:cs="黑体"/>
          <w:sz w:val="32"/>
          <w:szCs w:val="32"/>
          <w:highlight w:val="none"/>
        </w:rPr>
        <w:t>义马市粮油流通储备管理中心概况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ind w:left="4320" w:hanging="4320" w:hangingChars="900"/>
        <w:jc w:val="left"/>
        <w:rPr>
          <w:rFonts w:hint="eastAsia" w:ascii="黑体" w:hAnsi="宋体" w:eastAsia="黑体" w:cs="宋体"/>
          <w:kern w:val="0"/>
          <w:sz w:val="28"/>
          <w:szCs w:val="28"/>
          <w:highlight w:val="none"/>
        </w:rPr>
      </w:pPr>
      <w:r>
        <w:rPr>
          <w:rFonts w:hint="eastAsia" w:ascii="黑体" w:hAnsi="黑体" w:eastAsia="黑体" w:cs="黑体"/>
          <w:sz w:val="48"/>
          <w:szCs w:val="48"/>
        </w:rPr>
        <w:t xml:space="preserve">第一部分  </w:t>
      </w:r>
      <w:r>
        <w:rPr>
          <w:rFonts w:hint="eastAsia" w:ascii="黑体" w:hAnsi="黑体" w:eastAsia="黑体" w:cs="黑体"/>
          <w:sz w:val="48"/>
          <w:szCs w:val="48"/>
          <w:highlight w:val="none"/>
        </w:rPr>
        <w:t>义马市粮油流通储备管理中心概况</w:t>
      </w:r>
    </w:p>
    <w:p>
      <w:pPr>
        <w:widowControl/>
        <w:ind w:firstLine="320" w:firstLineChars="100"/>
        <w:jc w:val="left"/>
        <w:rPr>
          <w:rFonts w:hint="eastAsia" w:ascii="黑体" w:hAnsi="黑体" w:eastAsia="黑体" w:cs="黑体"/>
          <w:kern w:val="0"/>
          <w:sz w:val="32"/>
          <w:szCs w:val="32"/>
          <w:highlight w:val="none"/>
        </w:rPr>
      </w:pPr>
    </w:p>
    <w:p>
      <w:pPr>
        <w:widowControl/>
        <w:jc w:val="center"/>
        <w:outlineLvl w:val="0"/>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320" w:firstLineChars="1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1、贯彻执行《粮食流通管理条例》及国家、省其他粮食流通和粮油储备的法律、法规和方针、政策，拟订全市粮食流通体制、地方粮油储备管理体制改革方案并组织实施，推动国有粮食企业改革。</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2、拟订全市粮食流通相关政策，会同有关部门研究提出全市粮食流通和地方粮油储备中长期规划的建议；组织落实粮食总量平衡和品种平衡计划，保持全市粮食平衡。</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3、负责全市粮食流通监督检查工作，监督检查粮食经营者从事粮食收购、储存、运输、政策性用粮购销活动，以及执行国家粮食流通统计制度情况。</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4、参与拟订全市储备粮油规模、总体布局和收购、销售计划，提出动用我市储备粮油原则的建议。</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5、负责组织、指导我市粮油仓库维修改造工作。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6、负责粮食流通的行业管理、全市粮油收购资格审核以及全社会粮食流通统计工作。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7、指导全市粮食系统产业化经营、多种经营、连锁经营和行业安全生产工作。</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8、拟订全市粮食市场体系建设与发展规划并组织实施，参与管理全市粮油流通设施投资项目。</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9、指导全市粮食系统财务和内部审计工作，监管下属单位的国有资产。</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10、指导全市粮食系统安全生产、减员分流和再就业工作。</w:t>
      </w:r>
    </w:p>
    <w:p>
      <w:pPr>
        <w:ind w:firstLine="640"/>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highlight w:val="none"/>
        </w:rPr>
        <w:t>11、承担市政府交办的其他事项。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sz w:val="32"/>
          <w:szCs w:val="32"/>
          <w:highlight w:val="none"/>
        </w:rPr>
        <w:t>党政办公室、综合业务科、监督检查科、财务会计科</w:t>
      </w:r>
      <w:r>
        <w:rPr>
          <w:rFonts w:hint="eastAsia" w:ascii="仿宋_GB2312" w:hAnsi="仿宋_GB2312" w:eastAsia="仿宋_GB2312" w:cs="仿宋_GB2312"/>
          <w:sz w:val="32"/>
          <w:szCs w:val="32"/>
          <w:highlight w:val="none"/>
          <w:lang w:eastAsia="zh-CN"/>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eastAsia="zh-CN"/>
        </w:rPr>
        <w:t>义马市粮油流通储备管理中心</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s="仿宋_GB2312"/>
          <w:kern w:val="0"/>
          <w:sz w:val="32"/>
          <w:szCs w:val="32"/>
        </w:rPr>
        <w:t>纳入本部门</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度部门决算编制范围的单位共</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个，其中二级预算单位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。具体是：</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义马市粮油流通储备管理中心本级</w:t>
      </w:r>
      <w:r>
        <w:rPr>
          <w:rFonts w:hint="eastAsia" w:ascii="仿宋_GB2312" w:hAnsi="仿宋_GB2312" w:eastAsia="仿宋_GB2312" w:cs="仿宋_GB2312"/>
          <w:kern w:val="0"/>
          <w:sz w:val="32"/>
          <w:szCs w:val="32"/>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shd w:val="clear" w:color="auto" w:fill="auto"/>
        <w:tblLayout w:type="fixed"/>
        <w:tblCellMar>
          <w:top w:w="0" w:type="dxa"/>
          <w:left w:w="0" w:type="dxa"/>
          <w:bottom w:w="0" w:type="dxa"/>
          <w:right w:w="0" w:type="dxa"/>
        </w:tblCellMar>
      </w:tblPr>
      <w:tblGrid>
        <w:gridCol w:w="3741"/>
        <w:gridCol w:w="825"/>
        <w:gridCol w:w="2213"/>
        <w:gridCol w:w="3258"/>
        <w:gridCol w:w="492"/>
        <w:gridCol w:w="172"/>
        <w:gridCol w:w="283"/>
        <w:gridCol w:w="2460"/>
        <w:gridCol w:w="15"/>
      </w:tblGrid>
      <w:tr>
        <w:tblPrEx>
          <w:shd w:val="clear" w:color="auto" w:fill="auto"/>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82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1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32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cs="宋体"/>
                <w:kern w:val="0"/>
                <w:sz w:val="20"/>
                <w:szCs w:val="20"/>
                <w:highlight w:val="none"/>
                <w:lang w:bidi="ar"/>
              </w:rPr>
              <w:t>义马市粮油流通储备管理中心</w:t>
            </w:r>
          </w:p>
        </w:tc>
        <w:tc>
          <w:tcPr>
            <w:tcW w:w="825"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1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25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 w:type="dxa"/>
          <w:trHeight w:val="300" w:hRule="atLeast"/>
        </w:trPr>
        <w:tc>
          <w:tcPr>
            <w:tcW w:w="677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666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sz w:val="20"/>
                <w:szCs w:val="20"/>
                <w:highlight w:val="none"/>
                <w:lang w:val="en-US" w:eastAsia="zh-CN"/>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十一、城乡社区支出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十二、农林水支出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十三、交通运输支出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十五、商业服务业等支出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十六、金融支出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十七、援助其他地区支出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十九、住房保障支出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8.47</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二十、粮油物资储备支出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477.86</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23</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24</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kern w:val="2"/>
                <w:sz w:val="20"/>
                <w:szCs w:val="20"/>
                <w:highlight w:val="none"/>
                <w:lang w:val="en-US" w:eastAsia="zh-CN" w:bidi="ar-SA"/>
              </w:rPr>
            </w:pPr>
            <w:r>
              <w:rPr>
                <w:rFonts w:hint="eastAsia" w:ascii="宋体" w:hAnsi="宋体" w:cs="宋体"/>
                <w:b/>
                <w:sz w:val="20"/>
                <w:szCs w:val="20"/>
                <w:highlight w:val="none"/>
                <w:lang w:eastAsia="zh-CN"/>
              </w:rPr>
              <w:t>二</w:t>
            </w:r>
            <w:r>
              <w:rPr>
                <w:rFonts w:hint="eastAsia" w:ascii="宋体" w:hAnsi="宋体" w:cs="宋体"/>
                <w:b w:val="0"/>
                <w:bCs/>
                <w:sz w:val="20"/>
                <w:szCs w:val="20"/>
                <w:highlight w:val="none"/>
                <w:lang w:eastAsia="zh-CN"/>
              </w:rPr>
              <w:t>十四、债务还本支出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二十五、债务付息支出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u w:val="none"/>
                <w:lang w:val="en-US" w:eastAsia="zh-CN" w:bidi="ar"/>
              </w:rPr>
            </w:pP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26</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二十六、抗疫特别国债安排的支出</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u w:val="none"/>
                <w:lang w:val="en-US" w:eastAsia="zh-CN" w:bidi="ar"/>
              </w:rPr>
            </w:pP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27</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28</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29</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37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31</w:t>
            </w:r>
          </w:p>
        </w:tc>
        <w:tc>
          <w:tcPr>
            <w:tcW w:w="22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c>
          <w:tcPr>
            <w:tcW w:w="37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45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521.11</w:t>
            </w:r>
          </w:p>
        </w:tc>
      </w:tr>
      <w:tr>
        <w:tblPrEx>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45" w:type="dxa"/>
        <w:tblInd w:w="0" w:type="dxa"/>
        <w:tblLayout w:type="fixed"/>
        <w:tblCellMar>
          <w:top w:w="0" w:type="dxa"/>
          <w:left w:w="0" w:type="dxa"/>
          <w:bottom w:w="0" w:type="dxa"/>
          <w:right w:w="0" w:type="dxa"/>
        </w:tblCellMar>
      </w:tblPr>
      <w:tblGrid>
        <w:gridCol w:w="1027"/>
        <w:gridCol w:w="59"/>
        <w:gridCol w:w="2524"/>
        <w:gridCol w:w="300"/>
        <w:gridCol w:w="1181"/>
        <w:gridCol w:w="372"/>
        <w:gridCol w:w="1553"/>
        <w:gridCol w:w="1319"/>
        <w:gridCol w:w="234"/>
        <w:gridCol w:w="1097"/>
        <w:gridCol w:w="456"/>
        <w:gridCol w:w="1119"/>
        <w:gridCol w:w="434"/>
        <w:gridCol w:w="954"/>
        <w:gridCol w:w="1216"/>
      </w:tblGrid>
      <w:tr>
        <w:tblPrEx>
          <w:tblCellMar>
            <w:top w:w="0" w:type="dxa"/>
            <w:left w:w="0" w:type="dxa"/>
            <w:bottom w:w="0" w:type="dxa"/>
            <w:right w:w="0" w:type="dxa"/>
          </w:tblCellMar>
        </w:tblPrEx>
        <w:trPr>
          <w:trHeight w:val="435" w:hRule="atLeast"/>
        </w:trPr>
        <w:tc>
          <w:tcPr>
            <w:tcW w:w="13845"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52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610"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48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31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33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5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3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216"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8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8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3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10"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610"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cs="宋体"/>
                <w:color w:val="000000"/>
                <w:sz w:val="20"/>
                <w:szCs w:val="20"/>
                <w:lang w:val="en-US" w:eastAsia="zh-CN"/>
              </w:rPr>
              <w:t>521.11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社会保险和就业支出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14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210110</w:t>
            </w:r>
            <w:r>
              <w:rPr>
                <w:rFonts w:hint="eastAsia" w:ascii="宋体" w:hAnsi="宋体" w:cs="宋体"/>
                <w:sz w:val="20"/>
                <w:szCs w:val="20"/>
                <w:highlight w:val="none"/>
                <w:lang w:val="en-US" w:eastAsia="zh-CN"/>
              </w:rPr>
              <w:t>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行政</w:t>
            </w:r>
            <w:r>
              <w:rPr>
                <w:rFonts w:hint="eastAsia" w:ascii="宋体" w:hAnsi="宋体" w:cs="宋体"/>
                <w:sz w:val="20"/>
                <w:szCs w:val="20"/>
                <w:highlight w:val="none"/>
              </w:rPr>
              <w:t>单位医疗</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行政运行</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2220106</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专项业务活动</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22204</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粮油储备</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2220401</w:t>
            </w:r>
          </w:p>
        </w:tc>
        <w:tc>
          <w:tcPr>
            <w:tcW w:w="252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储备粮油补贴</w:t>
            </w:r>
          </w:p>
        </w:tc>
        <w:tc>
          <w:tcPr>
            <w:tcW w:w="148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9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31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3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15" w:hRule="atLeast"/>
        </w:trPr>
        <w:tc>
          <w:tcPr>
            <w:tcW w:w="13845"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1120"/>
        <w:gridCol w:w="63"/>
        <w:gridCol w:w="27"/>
        <w:gridCol w:w="2831"/>
        <w:gridCol w:w="292"/>
        <w:gridCol w:w="1396"/>
        <w:gridCol w:w="406"/>
        <w:gridCol w:w="1356"/>
        <w:gridCol w:w="445"/>
        <w:gridCol w:w="1243"/>
        <w:gridCol w:w="559"/>
        <w:gridCol w:w="1016"/>
        <w:gridCol w:w="785"/>
        <w:gridCol w:w="921"/>
        <w:gridCol w:w="1528"/>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83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9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4041"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29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4041"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762"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5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70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528"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85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0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28"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85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70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28"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4041"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28"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4041"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社会保障和就业支出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2101102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事业单位医疗</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行政运行</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2220106</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粮食专项业务活动</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22204</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粮油储备</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2240401</w:t>
            </w:r>
          </w:p>
        </w:tc>
        <w:tc>
          <w:tcPr>
            <w:tcW w:w="2858"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储备粮油补贴</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76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1688"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7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0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2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105"/>
        <w:gridCol w:w="581"/>
        <w:gridCol w:w="1200"/>
        <w:gridCol w:w="1162"/>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6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highlight w:val="none"/>
                <w:lang w:bidi="ar"/>
              </w:rPr>
              <w:t>义马市粮油流通储备管理中心</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6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9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33</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34</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35</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36</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37</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38</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kern w:val="0"/>
                <w:sz w:val="20"/>
                <w:szCs w:val="20"/>
                <w:highlight w:val="none"/>
                <w:lang w:bidi="ar"/>
              </w:rPr>
              <w:t>七、文化</w:t>
            </w:r>
            <w:r>
              <w:rPr>
                <w:rFonts w:hint="eastAsia" w:ascii="宋体" w:hAnsi="宋体" w:cs="宋体"/>
                <w:kern w:val="0"/>
                <w:sz w:val="20"/>
                <w:szCs w:val="20"/>
                <w:highlight w:val="none"/>
                <w:lang w:eastAsia="zh-CN" w:bidi="ar"/>
              </w:rPr>
              <w:t>旅游</w:t>
            </w:r>
            <w:r>
              <w:rPr>
                <w:rFonts w:hint="eastAsia" w:ascii="宋体" w:hAnsi="宋体" w:cs="宋体"/>
                <w:kern w:val="0"/>
                <w:sz w:val="20"/>
                <w:szCs w:val="20"/>
                <w:highlight w:val="none"/>
                <w:lang w:bidi="ar"/>
              </w:rPr>
              <w:t>体育与传媒支出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39</w:t>
            </w: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八、社会保障和就业支出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九、医疗</w:t>
            </w:r>
            <w:r>
              <w:rPr>
                <w:rFonts w:hint="eastAsia" w:ascii="宋体" w:hAnsi="宋体" w:cs="宋体"/>
                <w:kern w:val="0"/>
                <w:sz w:val="20"/>
                <w:szCs w:val="20"/>
                <w:highlight w:val="none"/>
                <w:lang w:eastAsia="zh-CN" w:bidi="ar"/>
              </w:rPr>
              <w:t>健康支出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center" w:pos="804"/>
                <w:tab w:val="right" w:pos="1728"/>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4.71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十、节能环保支出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42</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十一、城乡社区支出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43</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十二、农林水支出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44</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十三、交通运输支出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45</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十四、资源勘探</w:t>
            </w:r>
            <w:r>
              <w:rPr>
                <w:rFonts w:hint="eastAsia" w:ascii="宋体" w:hAnsi="宋体" w:cs="宋体"/>
                <w:kern w:val="0"/>
                <w:sz w:val="20"/>
                <w:szCs w:val="20"/>
                <w:highlight w:val="none"/>
                <w:lang w:eastAsia="zh-CN" w:bidi="ar"/>
              </w:rPr>
              <w:t>工业</w:t>
            </w:r>
            <w:r>
              <w:rPr>
                <w:rFonts w:hint="eastAsia" w:ascii="宋体" w:hAnsi="宋体" w:cs="宋体"/>
                <w:kern w:val="0"/>
                <w:sz w:val="20"/>
                <w:szCs w:val="20"/>
                <w:highlight w:val="none"/>
                <w:lang w:bidi="ar"/>
              </w:rPr>
              <w:t>信息等支出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46</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十五、商业服务业等支出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47</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十六、金融支出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48</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十七、援助其他地区支出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49</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十八、</w:t>
            </w:r>
            <w:r>
              <w:rPr>
                <w:rFonts w:hint="eastAsia" w:ascii="宋体" w:hAnsi="宋体" w:cs="宋体"/>
                <w:kern w:val="0"/>
                <w:sz w:val="20"/>
                <w:szCs w:val="20"/>
                <w:highlight w:val="none"/>
                <w:lang w:eastAsia="zh-CN" w:bidi="ar"/>
              </w:rPr>
              <w:t>自然资源</w:t>
            </w:r>
            <w:r>
              <w:rPr>
                <w:rFonts w:hint="eastAsia" w:ascii="宋体" w:hAnsi="宋体" w:cs="宋体"/>
                <w:kern w:val="0"/>
                <w:sz w:val="20"/>
                <w:szCs w:val="20"/>
                <w:highlight w:val="none"/>
                <w:lang w:bidi="ar"/>
              </w:rPr>
              <w:t>海洋气象等支出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19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十九、住房保障支出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left" w:pos="568"/>
                <w:tab w:val="center" w:pos="804"/>
                <w:tab w:val="right" w:pos="1728"/>
              </w:tabs>
              <w:spacing w:before="0" w:beforeAutospacing="0" w:after="0" w:afterAutospacing="0"/>
              <w:ind w:left="0" w:right="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8.47</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550"/>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二十、粮油物资储备支出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52</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center" w:pos="804"/>
                <w:tab w:val="right" w:pos="1728"/>
              </w:tabs>
              <w:spacing w:before="0" w:beforeAutospacing="0" w:after="0" w:afterAutospacing="0"/>
              <w:ind w:left="0" w:right="0"/>
              <w:jc w:val="center"/>
              <w:textAlignment w:val="center"/>
              <w:rPr>
                <w:rFonts w:hint="default"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477.86</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tabs>
                <w:tab w:val="left" w:pos="490"/>
              </w:tabs>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二十一、</w:t>
            </w:r>
            <w:r>
              <w:rPr>
                <w:rFonts w:hint="eastAsia" w:ascii="宋体" w:hAnsi="宋体" w:cs="宋体"/>
                <w:kern w:val="0"/>
                <w:sz w:val="20"/>
                <w:szCs w:val="20"/>
                <w:highlight w:val="none"/>
                <w:lang w:eastAsia="zh-CN" w:bidi="ar"/>
              </w:rPr>
              <w:t>国有资本经营预算支出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53</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二十二、</w:t>
            </w:r>
            <w:r>
              <w:rPr>
                <w:rFonts w:hint="eastAsia" w:ascii="宋体" w:hAnsi="宋体" w:cs="宋体"/>
                <w:kern w:val="0"/>
                <w:sz w:val="20"/>
                <w:szCs w:val="20"/>
                <w:highlight w:val="none"/>
                <w:lang w:eastAsia="zh-CN" w:bidi="ar"/>
              </w:rPr>
              <w:t>灾害防治及应急管理支出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54</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二十三、</w:t>
            </w:r>
            <w:r>
              <w:rPr>
                <w:rFonts w:hint="eastAsia" w:ascii="宋体" w:hAnsi="宋体" w:cs="宋体"/>
                <w:kern w:val="0"/>
                <w:sz w:val="20"/>
                <w:szCs w:val="20"/>
                <w:highlight w:val="none"/>
                <w:lang w:eastAsia="zh-CN" w:bidi="ar"/>
              </w:rPr>
              <w:t>其他支出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55</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b/>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550"/>
              </w:tabs>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eastAsiaTheme="minorEastAsia"/>
                <w:b/>
                <w:kern w:val="2"/>
                <w:sz w:val="20"/>
                <w:szCs w:val="20"/>
                <w:highlight w:val="none"/>
                <w:lang w:val="en-US" w:eastAsia="zh-CN" w:bidi="ar-SA"/>
              </w:rPr>
            </w:pPr>
            <w:r>
              <w:rPr>
                <w:rFonts w:hint="eastAsia" w:ascii="宋体" w:hAnsi="宋体" w:cs="宋体"/>
                <w:b w:val="0"/>
                <w:bCs/>
                <w:sz w:val="20"/>
                <w:szCs w:val="20"/>
                <w:highlight w:val="none"/>
                <w:lang w:eastAsia="zh-CN"/>
              </w:rPr>
              <w:t>二十四、债务还本支出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56</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tabs>
                <w:tab w:val="left" w:pos="463"/>
              </w:tabs>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二十五、债务付息支出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57</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26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2"/>
                <w:sz w:val="20"/>
                <w:szCs w:val="20"/>
                <w:highlight w:val="none"/>
                <w:lang w:val="en-US" w:eastAsia="zh-CN" w:bidi="ar-SA"/>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eastAsia="zh-CN"/>
              </w:rPr>
              <w:t>二十六、抗疫特别国债安排的支出</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kern w:val="0"/>
                <w:sz w:val="20"/>
                <w:szCs w:val="20"/>
                <w:highlight w:val="none"/>
                <w:lang w:bidi="ar"/>
              </w:rPr>
              <w:t>58</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59</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60</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61</w:t>
            </w:r>
          </w:p>
        </w:tc>
        <w:tc>
          <w:tcPr>
            <w:tcW w:w="12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62</w:t>
            </w:r>
          </w:p>
        </w:tc>
        <w:tc>
          <w:tcPr>
            <w:tcW w:w="1200"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auto"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10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8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63</w:t>
            </w:r>
          </w:p>
        </w:tc>
        <w:tc>
          <w:tcPr>
            <w:tcW w:w="1200" w:type="dxa"/>
            <w:tcBorders>
              <w:top w:val="single" w:color="000000" w:sz="4" w:space="0"/>
              <w:left w:val="nil"/>
              <w:bottom w:val="single" w:color="auto"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98" w:type="dxa"/>
            <w:gridSpan w:val="2"/>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auto"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auto"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auto"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3105" w:type="dxa"/>
            <w:tcBorders>
              <w:top w:val="single" w:color="auto" w:sz="4" w:space="0"/>
              <w:left w:val="single" w:color="000000" w:sz="4"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8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64</w:t>
            </w:r>
          </w:p>
        </w:tc>
        <w:tc>
          <w:tcPr>
            <w:tcW w:w="1200" w:type="dxa"/>
            <w:tcBorders>
              <w:top w:val="single" w:color="auto"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498" w:type="dxa"/>
            <w:gridSpan w:val="2"/>
            <w:tcBorders>
              <w:top w:val="single" w:color="auto"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521.11</w:t>
            </w:r>
          </w:p>
        </w:tc>
        <w:tc>
          <w:tcPr>
            <w:tcW w:w="168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91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kern w:val="0"/>
                <w:sz w:val="20"/>
                <w:szCs w:val="20"/>
                <w:highlight w:val="none"/>
                <w:lang w:bidi="ar"/>
              </w:rPr>
              <w:t>义马市粮油流通储备管理中心</w:t>
            </w: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99" w:hRule="atLeast"/>
        </w:trPr>
        <w:tc>
          <w:tcPr>
            <w:tcW w:w="363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Cs/>
                <w:sz w:val="20"/>
                <w:szCs w:val="20"/>
                <w:highlight w:val="none"/>
                <w:lang w:val="en-US" w:eastAsia="zh-CN"/>
              </w:rPr>
              <w:t>521.11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Cs/>
                <w:sz w:val="20"/>
                <w:szCs w:val="20"/>
                <w:highlight w:val="none"/>
                <w:lang w:val="en-US" w:eastAsia="zh-CN"/>
              </w:rPr>
              <w:t>156.42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2"/>
                <w:sz w:val="20"/>
                <w:szCs w:val="20"/>
                <w:highlight w:val="none"/>
                <w:lang w:val="en-US" w:eastAsia="zh-CN" w:bidi="ar-SA"/>
              </w:rPr>
            </w:pPr>
            <w:r>
              <w:rPr>
                <w:rFonts w:hint="eastAsia" w:ascii="宋体" w:hAnsi="宋体" w:eastAsia="宋体" w:cs="宋体"/>
                <w:b w:val="0"/>
                <w:bCs/>
                <w:sz w:val="20"/>
                <w:szCs w:val="20"/>
                <w:highlight w:val="none"/>
                <w:lang w:val="en-US" w:eastAsia="zh-CN"/>
              </w:rPr>
              <w:t>364.69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30.07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行政单位离退休</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19.97</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10.1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卫生</w:t>
            </w:r>
            <w:r>
              <w:rPr>
                <w:rFonts w:hint="eastAsia" w:ascii="宋体" w:hAnsi="宋体" w:cs="宋体"/>
                <w:sz w:val="20"/>
                <w:szCs w:val="20"/>
                <w:highlight w:val="none"/>
                <w:lang w:eastAsia="zh-CN"/>
              </w:rPr>
              <w:t>健康</w:t>
            </w:r>
            <w:r>
              <w:rPr>
                <w:rFonts w:hint="eastAsia" w:ascii="宋体" w:hAnsi="宋体" w:cs="宋体"/>
                <w:sz w:val="20"/>
                <w:szCs w:val="20"/>
                <w:highlight w:val="none"/>
              </w:rPr>
              <w:t>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21011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行政事业单位医疗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210110</w:t>
            </w:r>
            <w:r>
              <w:rPr>
                <w:rFonts w:hint="eastAsia" w:ascii="宋体" w:hAnsi="宋体" w:cs="宋体"/>
                <w:sz w:val="20"/>
                <w:szCs w:val="20"/>
                <w:highlight w:val="none"/>
                <w:lang w:val="en-US" w:eastAsia="zh-CN"/>
              </w:rPr>
              <w:t>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事业单位医疗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4.71</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住房保障支出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住房改革支出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2210201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住房公积金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8.47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粮油物资储备支出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477.86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329.69</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22201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rPr>
              <w:t>粮油</w:t>
            </w:r>
            <w:r>
              <w:rPr>
                <w:rFonts w:hint="eastAsia" w:ascii="宋体" w:hAnsi="宋体" w:cs="宋体"/>
                <w:sz w:val="20"/>
                <w:szCs w:val="20"/>
                <w:highlight w:val="none"/>
                <w:lang w:eastAsia="zh-CN"/>
              </w:rPr>
              <w:t>物资</w:t>
            </w:r>
            <w:r>
              <w:rPr>
                <w:rFonts w:hint="eastAsia" w:ascii="宋体" w:hAnsi="宋体" w:cs="宋体"/>
                <w:sz w:val="20"/>
                <w:szCs w:val="20"/>
                <w:highlight w:val="none"/>
              </w:rPr>
              <w:t>事务</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148.17</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2220101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rPr>
              <w:t>行政运行</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100.14</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tabs>
                <w:tab w:val="left" w:pos="572"/>
              </w:tabs>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2220106</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专项业务活动</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48.03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13.03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35</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粮油储备</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329.69</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val="en-US" w:eastAsia="zh-CN"/>
              </w:rPr>
              <w:t>2220401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0"/>
                <w:szCs w:val="20"/>
                <w:highlight w:val="none"/>
                <w:lang w:val="en-US" w:eastAsia="zh-CN" w:bidi="ar-SA"/>
              </w:rPr>
            </w:pPr>
            <w:r>
              <w:rPr>
                <w:rFonts w:hint="eastAsia" w:ascii="宋体" w:hAnsi="宋体" w:cs="宋体"/>
                <w:sz w:val="20"/>
                <w:szCs w:val="20"/>
                <w:highlight w:val="none"/>
                <w:lang w:eastAsia="zh-CN"/>
              </w:rPr>
              <w:t>储备粮油补贴</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eastAsia="宋体" w:cs="宋体"/>
                <w:sz w:val="20"/>
                <w:szCs w:val="20"/>
                <w:highlight w:val="none"/>
                <w:lang w:val="en-US" w:eastAsia="zh-CN"/>
              </w:rPr>
              <w:t>329.69</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106.25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27.91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42.07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28.51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1.82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11.44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2.25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3.34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0.55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2.11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0.50</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cs="宋体"/>
                <w:color w:val="000000"/>
                <w:sz w:val="20"/>
                <w:szCs w:val="20"/>
                <w:highlight w:val="none"/>
                <w:lang w:val="en-US" w:eastAsia="zh-CN"/>
              </w:rPr>
              <w:t>0.95</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color w:val="000000"/>
                <w:sz w:val="20"/>
                <w:szCs w:val="20"/>
                <w:highlight w:val="none"/>
                <w:lang w:val="en-US" w:eastAsia="zh-CN"/>
              </w:rPr>
              <w:t>0.86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r>
              <w:rPr>
                <w:rFonts w:hint="eastAsia" w:ascii="宋体" w:hAnsi="宋体" w:cs="宋体"/>
                <w:sz w:val="20"/>
                <w:szCs w:val="20"/>
                <w:highlight w:val="none"/>
                <w:lang w:val="en-US" w:eastAsia="zh-CN"/>
              </w:rPr>
              <w:t>8.47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2"/>
                <w:szCs w:val="22"/>
                <w:highlight w:val="none"/>
                <w:lang w:val="en-US" w:eastAsia="zh-CN" w:bidi="ar-SA"/>
              </w:rPr>
            </w:pPr>
            <w:r>
              <w:rPr>
                <w:rFonts w:hint="eastAsia" w:ascii="宋体" w:hAnsi="宋体" w:cs="宋体"/>
                <w:kern w:val="2"/>
                <w:sz w:val="22"/>
                <w:szCs w:val="22"/>
                <w:highlight w:val="none"/>
                <w:lang w:val="en-US" w:eastAsia="zh-CN" w:bidi="ar-SA"/>
              </w:rPr>
              <w:t>0.29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2"/>
                <w:szCs w:val="22"/>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2"/>
                <w:szCs w:val="22"/>
                <w:highlight w:val="none"/>
                <w:lang w:val="en-US" w:eastAsia="zh-CN" w:bidi="ar-SA"/>
              </w:rPr>
            </w:pPr>
            <w:r>
              <w:rPr>
                <w:rFonts w:hint="eastAsia" w:ascii="宋体" w:hAnsi="宋体" w:cs="宋体"/>
                <w:kern w:val="2"/>
                <w:sz w:val="22"/>
                <w:szCs w:val="22"/>
                <w:highlight w:val="none"/>
                <w:lang w:val="en-US" w:eastAsia="zh-CN" w:bidi="ar-SA"/>
              </w:rPr>
              <w:t>22.26</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19.97</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2.29</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3.42</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1.34</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1.11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5.71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3.71</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128.51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27.91　</w:t>
            </w:r>
          </w:p>
        </w:tc>
      </w:tr>
      <w:tr>
        <w:tblPrEx>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Arial" w:hAnsi="Arial" w:cs="Arial"/>
                <w:color w:val="000000"/>
                <w:sz w:val="20"/>
                <w:szCs w:val="20"/>
                <w:highlight w:val="none"/>
              </w:rPr>
              <w:t>义马市</w:t>
            </w:r>
            <w:r>
              <w:rPr>
                <w:rFonts w:hint="eastAsia" w:ascii="Arial" w:hAnsi="Arial" w:cs="Arial"/>
                <w:color w:val="000000"/>
                <w:sz w:val="20"/>
                <w:szCs w:val="20"/>
                <w:highlight w:val="none"/>
                <w:lang w:eastAsia="zh-CN"/>
              </w:rPr>
              <w:t>粮油流通储备管理中心</w:t>
            </w: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万元。与</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年度相比，收、支总计各</w:t>
      </w:r>
      <w:r>
        <w:rPr>
          <w:rFonts w:hint="eastAsia" w:ascii="仿宋_GB2312" w:hAnsi="仿宋_GB2312" w:eastAsia="仿宋_GB2312" w:cs="仿宋_GB2312"/>
          <w:sz w:val="32"/>
          <w:szCs w:val="32"/>
          <w:highlight w:val="none"/>
          <w:lang w:eastAsia="zh-CN"/>
        </w:rPr>
        <w:t>增加了</w:t>
      </w:r>
      <w:r>
        <w:rPr>
          <w:rFonts w:hint="eastAsia" w:ascii="仿宋_GB2312" w:hAnsi="仿宋_GB2312" w:eastAsia="仿宋_GB2312" w:cs="仿宋_GB2312"/>
          <w:sz w:val="32"/>
          <w:szCs w:val="32"/>
          <w:highlight w:val="none"/>
          <w:lang w:val="en-US" w:eastAsia="zh-CN"/>
        </w:rPr>
        <w:t>38.72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8.03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严格按照利费所属季度和实际工作需要拨付。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521.11</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beforeLines="0" w:after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2021年度支出合计521.11万元，其中：基本支出</w:t>
      </w:r>
      <w:r>
        <w:rPr>
          <w:rFonts w:hint="eastAsia" w:ascii="仿宋_GB2312" w:hAnsi="仿宋_GB2312" w:eastAsia="仿宋_GB2312"/>
          <w:sz w:val="32"/>
          <w:highlight w:val="none"/>
          <w:lang w:val="en-US" w:eastAsia="zh-CN"/>
        </w:rPr>
        <w:t>156.42</w:t>
      </w:r>
      <w:r>
        <w:rPr>
          <w:rFonts w:hint="eastAsia" w:ascii="仿宋_GB2312" w:hAnsi="仿宋_GB2312" w:eastAsia="仿宋_GB2312"/>
          <w:sz w:val="32"/>
          <w:highlight w:val="none"/>
          <w:lang w:val="en-US"/>
        </w:rPr>
        <w:t>万元，占</w:t>
      </w:r>
      <w:r>
        <w:rPr>
          <w:rFonts w:hint="eastAsia" w:ascii="仿宋_GB2312" w:hAnsi="仿宋_GB2312" w:eastAsia="仿宋_GB2312"/>
          <w:sz w:val="32"/>
          <w:highlight w:val="none"/>
          <w:lang w:val="en-US" w:eastAsia="zh-CN"/>
        </w:rPr>
        <w:t>30.02</w:t>
      </w:r>
      <w:r>
        <w:rPr>
          <w:rFonts w:hint="eastAsia" w:ascii="仿宋_GB2312" w:hAnsi="仿宋_GB2312" w:eastAsia="仿宋_GB2312"/>
          <w:sz w:val="32"/>
          <w:highlight w:val="none"/>
          <w:lang w:val="en-US"/>
        </w:rPr>
        <w:t>%；项目支出</w:t>
      </w:r>
      <w:r>
        <w:rPr>
          <w:rFonts w:hint="eastAsia" w:ascii="仿宋_GB2312" w:hAnsi="仿宋_GB2312" w:eastAsia="仿宋_GB2312"/>
          <w:sz w:val="32"/>
          <w:highlight w:val="none"/>
          <w:lang w:val="en-US" w:eastAsia="zh-CN"/>
        </w:rPr>
        <w:t>364.69</w:t>
      </w:r>
      <w:r>
        <w:rPr>
          <w:rFonts w:hint="eastAsia" w:ascii="仿宋_GB2312" w:hAnsi="仿宋_GB2312" w:eastAsia="仿宋_GB2312"/>
          <w:sz w:val="32"/>
          <w:highlight w:val="none"/>
          <w:lang w:val="en-US"/>
        </w:rPr>
        <w:t>万元，占</w:t>
      </w:r>
      <w:r>
        <w:rPr>
          <w:rFonts w:hint="eastAsia" w:ascii="仿宋_GB2312" w:hAnsi="仿宋_GB2312" w:eastAsia="仿宋_GB2312"/>
          <w:sz w:val="32"/>
          <w:highlight w:val="none"/>
          <w:lang w:val="en-US" w:eastAsia="zh-CN"/>
        </w:rPr>
        <w:t>69.98</w:t>
      </w:r>
      <w:r>
        <w:rPr>
          <w:rFonts w:hint="eastAsia" w:ascii="仿宋_GB2312" w:hAnsi="仿宋_GB2312" w:eastAsia="仿宋_GB2312"/>
          <w:sz w:val="32"/>
          <w:highlight w:val="none"/>
          <w:lang w:val="en-US"/>
        </w:rPr>
        <w:t>%；上缴上级支出0万元，占0%；经营支出0万元，占0%；对附属单位补助支出0万元，占0%。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sz w:val="32"/>
          <w:highlight w:val="none"/>
          <w:lang w:val="en-US"/>
        </w:rPr>
        <w:t>2021年度财政拨款收、支总计均为521.11万元。与上年度相比，财政拨款收、支总计各增加38.82万元，增长8.05%。主要原因是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cs="仿宋_GB2312"/>
          <w:sz w:val="32"/>
          <w:szCs w:val="32"/>
          <w:highlight w:val="none"/>
        </w:rPr>
        <w:t>严格按照利费所属季度和实际工作需要直接拨付</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left="0" w:leftChars="0" w:firstLine="640" w:firstLineChars="200"/>
        <w:rPr>
          <w:rFonts w:hint="eastAsia" w:ascii="楷体_GB2312" w:hAnsi="楷体_GB2312" w:eastAsia="楷体_GB2312" w:cs="楷体_GB2312"/>
          <w:sz w:val="32"/>
          <w:szCs w:val="32"/>
          <w:highlight w:val="none"/>
        </w:rPr>
      </w:pPr>
      <w:r>
        <w:rPr>
          <w:rFonts w:hint="eastAsia" w:ascii="仿宋_GB2312" w:hAnsi="仿宋_GB2312" w:eastAsia="仿宋_GB2312"/>
          <w:sz w:val="32"/>
          <w:highlight w:val="none"/>
          <w:lang w:val="en-US"/>
        </w:rPr>
        <w:t>2021年度一般公共预算财政拨款支出521.11万元，占支出合计的100%。与上年度相比，一般公共预算财政拨款支出增加38.82万元，增长8.05%。主要原因是</w:t>
      </w:r>
      <w:r>
        <w:rPr>
          <w:rFonts w:hint="eastAsia" w:ascii="仿宋_GB2312" w:hAnsi="仿宋_GB2312" w:eastAsia="仿宋_GB2312"/>
          <w:sz w:val="32"/>
          <w:highlight w:val="none"/>
          <w:lang w:val="en-US" w:eastAsia="zh-CN"/>
        </w:rPr>
        <w:t>：</w:t>
      </w:r>
      <w:r>
        <w:rPr>
          <w:rFonts w:hint="eastAsia" w:ascii="仿宋_GB2312" w:hAnsi="仿宋_GB2312" w:eastAsia="仿宋_GB2312" w:cs="仿宋_GB2312"/>
          <w:sz w:val="32"/>
          <w:szCs w:val="32"/>
          <w:highlight w:val="none"/>
        </w:rPr>
        <w:t>严格按照利费所属季度和实际工作需要直接拨付。</w:t>
      </w:r>
    </w:p>
    <w:p>
      <w:pPr>
        <w:spacing w:beforeLines="0" w:afterLines="0" w:line="590" w:lineRule="exact"/>
        <w:ind w:firstLine="640"/>
        <w:rPr>
          <w:rFonts w:hint="default" w:ascii="Times New Roman" w:hAnsi="Times New Roman" w:eastAsia="Times New Roman"/>
          <w:b/>
          <w:sz w:val="32"/>
          <w:highlight w:val="none"/>
          <w:lang w:val="en-US"/>
        </w:rPr>
      </w:pPr>
      <w:r>
        <w:rPr>
          <w:rFonts w:hint="eastAsia" w:ascii="楷体_GB2312" w:hAnsi="楷体_GB2312" w:eastAsia="楷体_GB2312"/>
          <w:b/>
          <w:sz w:val="32"/>
          <w:highlight w:val="none"/>
          <w:lang w:val="en-US"/>
        </w:rPr>
        <w:t>（二）结构情况。</w:t>
      </w:r>
    </w:p>
    <w:p>
      <w:pPr>
        <w:widowControl/>
        <w:spacing w:line="59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sz w:val="32"/>
          <w:highlight w:val="none"/>
          <w:lang w:val="en-US"/>
        </w:rPr>
        <w:t>2021年度一般公共预算财政拨款支出521.11万元，主要用于以下方面：</w:t>
      </w:r>
      <w:r>
        <w:rPr>
          <w:rFonts w:hint="eastAsia" w:ascii="仿宋_GB2312" w:hAnsi="仿宋_GB2312" w:eastAsia="仿宋_GB2312" w:cs="仿宋_GB2312"/>
          <w:sz w:val="32"/>
          <w:szCs w:val="32"/>
          <w:highlight w:val="none"/>
          <w:lang w:eastAsia="zh-CN"/>
        </w:rPr>
        <w:t>社会保障和就业支出</w:t>
      </w:r>
      <w:r>
        <w:rPr>
          <w:rFonts w:hint="eastAsia" w:ascii="仿宋_GB2312" w:hAnsi="仿宋_GB2312" w:eastAsia="仿宋_GB2312" w:cs="仿宋_GB2312"/>
          <w:sz w:val="32"/>
          <w:szCs w:val="32"/>
          <w:highlight w:val="none"/>
          <w:lang w:val="en-US" w:eastAsia="zh-CN"/>
        </w:rPr>
        <w:t>30.07万元，占5.77%：</w:t>
      </w:r>
      <w:r>
        <w:rPr>
          <w:rFonts w:hint="eastAsia" w:ascii="仿宋_GB2312" w:hAnsi="仿宋_GB2312" w:eastAsia="仿宋_GB2312" w:cs="仿宋_GB2312"/>
          <w:sz w:val="32"/>
          <w:szCs w:val="32"/>
          <w:highlight w:val="none"/>
        </w:rPr>
        <w:t>；医疗卫生和计划生育类支出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%；住房保障类支出</w:t>
      </w:r>
      <w:r>
        <w:rPr>
          <w:rFonts w:hint="eastAsia" w:ascii="仿宋_GB2312" w:hAnsi="仿宋_GB2312" w:eastAsia="仿宋_GB2312" w:cs="仿宋_GB2312"/>
          <w:sz w:val="32"/>
          <w:szCs w:val="32"/>
          <w:highlight w:val="none"/>
          <w:lang w:val="en-US" w:eastAsia="zh-CN"/>
        </w:rPr>
        <w:t>8.47</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rPr>
        <w:t>%；粮油物资储备类支出</w:t>
      </w:r>
      <w:r>
        <w:rPr>
          <w:rFonts w:hint="eastAsia" w:ascii="仿宋_GB2312" w:hAnsi="仿宋_GB2312" w:eastAsia="仿宋_GB2312" w:cs="仿宋_GB2312"/>
          <w:sz w:val="32"/>
          <w:szCs w:val="32"/>
          <w:highlight w:val="none"/>
          <w:lang w:val="en-US" w:eastAsia="zh-CN"/>
        </w:rPr>
        <w:t>477.86</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91.7</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spacing w:beforeLines="0" w:afterLines="0"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sz w:val="32"/>
          <w:highlight w:val="none"/>
          <w:lang w:val="en-US"/>
        </w:rPr>
        <w:t>2021年度一般公共预算财政拨款支出年初预算为443.14万元，支出决算为521.11万元，完成年初预算的117.59%。</w:t>
      </w:r>
      <w:r>
        <w:rPr>
          <w:rFonts w:hint="eastAsia" w:ascii="仿宋_GB2312" w:hAnsi="仿宋_GB2312" w:eastAsia="仿宋_GB2312" w:cs="仿宋_GB2312"/>
          <w:sz w:val="32"/>
          <w:szCs w:val="32"/>
          <w:highlight w:val="none"/>
        </w:rPr>
        <w:t>其中：</w:t>
      </w:r>
    </w:p>
    <w:p>
      <w:pPr>
        <w:widowControl/>
        <w:numPr>
          <w:ilvl w:val="0"/>
          <w:numId w:val="0"/>
        </w:numPr>
        <w:spacing w:line="59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社会保障和就业支出（类）行政事业单位养老支出（款）行政单位离退休（项）。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15.84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19.97</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126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 xml:space="preserve">    </w:t>
      </w:r>
    </w:p>
    <w:p>
      <w:pPr>
        <w:widowControl/>
        <w:numPr>
          <w:ilvl w:val="0"/>
          <w:numId w:val="0"/>
        </w:numPr>
        <w:spacing w:line="590" w:lineRule="exact"/>
        <w:ind w:firstLine="643" w:firstLineChars="200"/>
        <w:rPr>
          <w:rFonts w:hint="eastAsia" w:ascii="仿宋_GB2312" w:hAnsi="仿宋_GB2312" w:eastAsia="仿宋_GB2312" w:cs="仿宋_GB2312"/>
          <w:b/>
          <w:bCs/>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zh-CN" w:eastAsia="zh-CN"/>
        </w:rPr>
        <w:t>社会保障和就业支出（类）行政事业单位养老支出（款）机关事业单位基本养老保险缴费支出（项）。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11.43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10.1</w:t>
      </w:r>
      <w:r>
        <w:rPr>
          <w:rFonts w:hint="eastAsia" w:ascii="仿宋_GB2312" w:hAnsi="仿宋_GB2312" w:eastAsia="仿宋_GB2312" w:cs="仿宋_GB2312"/>
          <w:sz w:val="32"/>
          <w:szCs w:val="32"/>
          <w:highlight w:val="none"/>
        </w:rPr>
        <w:t>万元，完成年初预算</w:t>
      </w:r>
      <w:r>
        <w:rPr>
          <w:rFonts w:hint="eastAsia" w:ascii="仿宋_GB2312" w:hAnsi="仿宋_GB2312" w:eastAsia="仿宋_GB2312" w:cs="仿宋_GB2312"/>
          <w:sz w:val="32"/>
          <w:szCs w:val="32"/>
          <w:highlight w:val="none"/>
          <w:lang w:val="en-US" w:eastAsia="zh-CN"/>
        </w:rPr>
        <w:t>88.36</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人员变动。</w:t>
      </w:r>
    </w:p>
    <w:p>
      <w:pPr>
        <w:widowControl/>
        <w:spacing w:line="59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zh-CN" w:eastAsia="zh-CN"/>
        </w:rPr>
        <w:t>卫生健康支出（类）行政事业单位医疗（款）行政单位医疗（项）。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5.54</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85.02</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人员变动。</w:t>
      </w:r>
    </w:p>
    <w:p>
      <w:pPr>
        <w:widowControl/>
        <w:numPr>
          <w:ilvl w:val="0"/>
          <w:numId w:val="0"/>
        </w:numPr>
        <w:spacing w:line="590" w:lineRule="exact"/>
        <w:ind w:firstLine="643" w:firstLineChars="200"/>
        <w:rPr>
          <w:rFonts w:hint="eastAsia" w:ascii="仿宋_GB2312" w:hAnsi="仿宋_GB2312" w:eastAsia="仿宋_GB2312"/>
          <w:sz w:val="32"/>
          <w:highlight w:val="none"/>
          <w:lang w:eastAsia="zh-CN"/>
        </w:rPr>
      </w:pPr>
      <w:r>
        <w:rPr>
          <w:rFonts w:hint="eastAsia" w:ascii="仿宋_GB2312" w:hAnsi="仿宋_GB2312" w:eastAsia="仿宋_GB2312"/>
          <w:b/>
          <w:bCs/>
          <w:sz w:val="32"/>
          <w:highlight w:val="none"/>
          <w:lang w:val="en-US" w:eastAsia="zh-CN"/>
        </w:rPr>
        <w:t>4.</w:t>
      </w:r>
      <w:r>
        <w:rPr>
          <w:rFonts w:hint="eastAsia" w:ascii="仿宋_GB2312" w:hAnsi="仿宋_GB2312" w:eastAsia="仿宋_GB2312"/>
          <w:b/>
          <w:bCs/>
          <w:sz w:val="32"/>
          <w:highlight w:val="none"/>
          <w:lang w:eastAsia="zh-CN"/>
        </w:rPr>
        <w:t>粮食物资储备支出（类）粮油物资事务（款）行政运行（项）。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60.02</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100.14</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166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w:t>
      </w:r>
    </w:p>
    <w:p>
      <w:pPr>
        <w:numPr>
          <w:ilvl w:val="0"/>
          <w:numId w:val="0"/>
        </w:numPr>
        <w:spacing w:beforeLines="0" w:afterLines="0" w:line="590" w:lineRule="exact"/>
        <w:ind w:firstLine="643" w:firstLineChars="200"/>
        <w:rPr>
          <w:rFonts w:hint="eastAsia" w:ascii="仿宋_GB2312" w:hAnsi="仿宋_GB2312" w:eastAsia="仿宋_GB2312"/>
          <w:b/>
          <w:bCs/>
          <w:sz w:val="32"/>
          <w:highlight w:val="none"/>
          <w:lang w:eastAsia="zh-CN"/>
        </w:rPr>
      </w:pPr>
      <w:r>
        <w:rPr>
          <w:rFonts w:hint="eastAsia" w:ascii="仿宋_GB2312" w:hAnsi="仿宋_GB2312" w:eastAsia="仿宋_GB2312"/>
          <w:b/>
          <w:bCs/>
          <w:sz w:val="32"/>
          <w:highlight w:val="none"/>
          <w:lang w:val="en-US" w:eastAsia="zh-CN"/>
        </w:rPr>
        <w:t>5.</w:t>
      </w:r>
      <w:r>
        <w:rPr>
          <w:rFonts w:hint="eastAsia" w:ascii="仿宋_GB2312" w:hAnsi="仿宋_GB2312" w:eastAsia="仿宋_GB2312"/>
          <w:b/>
          <w:bCs/>
          <w:sz w:val="32"/>
          <w:highlight w:val="none"/>
          <w:lang w:eastAsia="zh-CN"/>
        </w:rPr>
        <w:t>粮食物资储备支出（类）粮油物资事务（款）专项业务活动（项）。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43.55</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13.03</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110</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地储粮油轮换资金拨付不到位。</w:t>
      </w:r>
    </w:p>
    <w:p>
      <w:pPr>
        <w:numPr>
          <w:ilvl w:val="0"/>
          <w:numId w:val="0"/>
        </w:numPr>
        <w:spacing w:beforeLines="0" w:afterLines="0" w:line="590" w:lineRule="exact"/>
        <w:ind w:firstLine="643" w:firstLineChars="200"/>
        <w:rPr>
          <w:rFonts w:hint="eastAsia" w:ascii="仿宋_GB2312" w:hAnsi="仿宋_GB2312" w:eastAsia="仿宋_GB2312"/>
          <w:b/>
          <w:bCs/>
          <w:sz w:val="32"/>
          <w:highlight w:val="none"/>
          <w:lang w:eastAsia="zh-CN"/>
        </w:rPr>
      </w:pPr>
      <w:r>
        <w:rPr>
          <w:rFonts w:hint="eastAsia" w:ascii="仿宋_GB2312" w:hAnsi="仿宋_GB2312" w:eastAsia="仿宋_GB2312"/>
          <w:b/>
          <w:bCs/>
          <w:sz w:val="32"/>
          <w:highlight w:val="none"/>
          <w:lang w:val="en-US" w:eastAsia="zh-CN"/>
        </w:rPr>
        <w:t>6.</w:t>
      </w:r>
      <w:r>
        <w:rPr>
          <w:rFonts w:hint="eastAsia" w:ascii="仿宋_GB2312" w:hAnsi="仿宋_GB2312" w:eastAsia="仿宋_GB2312"/>
          <w:b/>
          <w:bCs/>
          <w:sz w:val="32"/>
          <w:highlight w:val="none"/>
          <w:lang w:eastAsia="zh-CN"/>
        </w:rPr>
        <w:t>粮食物资储备支出（类）粮油储备（款）粮油储备补贴（项）。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298</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364.69</w:t>
      </w:r>
      <w:r>
        <w:rPr>
          <w:rFonts w:hint="eastAsia" w:ascii="仿宋_GB2312" w:hAnsi="仿宋_GB2312" w:eastAsia="仿宋_GB2312"/>
          <w:sz w:val="32"/>
          <w:highlight w:val="none"/>
        </w:rPr>
        <w:t>万元，完成年初预算的</w:t>
      </w:r>
      <w:r>
        <w:rPr>
          <w:rFonts w:hint="eastAsia" w:ascii="仿宋_GB2312" w:hAnsi="仿宋_GB2312" w:eastAsia="仿宋_GB2312"/>
          <w:sz w:val="32"/>
          <w:highlight w:val="none"/>
          <w:lang w:val="en-US" w:eastAsia="zh-CN"/>
        </w:rPr>
        <w:t>117.46</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地储粮油轮换</w:t>
      </w:r>
    </w:p>
    <w:p>
      <w:pPr>
        <w:widowControl/>
        <w:spacing w:line="590" w:lineRule="exact"/>
        <w:ind w:firstLine="643" w:firstLineChars="200"/>
        <w:outlineLvl w:val="1"/>
        <w:rPr>
          <w:rFonts w:hint="eastAsia" w:ascii="仿宋_GB2312" w:hAnsi="仿宋_GB2312" w:eastAsia="仿宋_GB2312"/>
          <w:sz w:val="32"/>
          <w:highlight w:val="none"/>
          <w:lang w:eastAsia="zh-CN"/>
        </w:rPr>
      </w:pPr>
      <w:r>
        <w:rPr>
          <w:rFonts w:hint="eastAsia" w:ascii="仿宋_GB2312" w:hAnsi="仿宋_GB2312" w:eastAsia="仿宋_GB2312"/>
          <w:b/>
          <w:sz w:val="32"/>
          <w:highlight w:val="none"/>
          <w:lang w:val="en-US" w:eastAsia="zh-CN"/>
        </w:rPr>
        <w:t>7.</w:t>
      </w:r>
      <w:r>
        <w:rPr>
          <w:rFonts w:hint="eastAsia" w:ascii="仿宋_GB2312" w:hAnsi="仿宋_GB2312" w:eastAsia="仿宋_GB2312" w:cs="仿宋_GB2312"/>
          <w:b/>
          <w:bCs/>
          <w:color w:val="auto"/>
          <w:sz w:val="32"/>
          <w:szCs w:val="32"/>
          <w:highlight w:val="none"/>
          <w:lang w:val="zh-CN" w:eastAsia="zh-CN"/>
        </w:rPr>
        <w:t>住房保障支出（类）住房改革支出（款）住房公积金（项）。</w:t>
      </w:r>
      <w:r>
        <w:rPr>
          <w:rFonts w:hint="eastAsia" w:ascii="仿宋_GB2312" w:hAnsi="仿宋_GB2312" w:eastAsia="仿宋_GB2312"/>
          <w:sz w:val="32"/>
          <w:highlight w:val="none"/>
        </w:rPr>
        <w:t>年初预算为</w:t>
      </w:r>
      <w:r>
        <w:rPr>
          <w:rFonts w:hint="eastAsia" w:ascii="仿宋_GB2312" w:hAnsi="仿宋_GB2312" w:eastAsia="仿宋_GB2312"/>
          <w:sz w:val="32"/>
          <w:highlight w:val="none"/>
          <w:lang w:val="en-US" w:eastAsia="zh-CN"/>
        </w:rPr>
        <w:t>8.75</w:t>
      </w:r>
      <w:r>
        <w:rPr>
          <w:rFonts w:hint="eastAsia" w:ascii="仿宋_GB2312" w:hAnsi="仿宋_GB2312" w:eastAsia="仿宋_GB2312"/>
          <w:sz w:val="32"/>
          <w:highlight w:val="none"/>
        </w:rPr>
        <w:t>万元，支出决算为</w:t>
      </w:r>
      <w:r>
        <w:rPr>
          <w:rFonts w:hint="eastAsia" w:ascii="仿宋_GB2312" w:hAnsi="仿宋_GB2312" w:eastAsia="仿宋_GB2312"/>
          <w:sz w:val="32"/>
          <w:highlight w:val="none"/>
          <w:lang w:val="en-US" w:eastAsia="zh-CN"/>
        </w:rPr>
        <w:t>8.47</w:t>
      </w:r>
      <w:r>
        <w:rPr>
          <w:rFonts w:hint="eastAsia" w:ascii="仿宋_GB2312" w:hAnsi="仿宋_GB2312" w:eastAsia="仿宋_GB2312"/>
          <w:sz w:val="32"/>
          <w:highlight w:val="none"/>
        </w:rPr>
        <w:t>元，完成年初预算的</w:t>
      </w:r>
      <w:r>
        <w:rPr>
          <w:rFonts w:hint="eastAsia" w:ascii="仿宋_GB2312" w:hAnsi="仿宋_GB2312" w:eastAsia="仿宋_GB2312"/>
          <w:sz w:val="32"/>
          <w:highlight w:val="none"/>
          <w:lang w:val="en-US" w:eastAsia="zh-CN"/>
        </w:rPr>
        <w:t>96.8</w:t>
      </w:r>
      <w:r>
        <w:rPr>
          <w:rFonts w:hint="eastAsia" w:ascii="仿宋_GB2312" w:hAnsi="仿宋_GB2312" w:eastAsia="仿宋_GB2312"/>
          <w:sz w:val="32"/>
          <w:highlight w:val="none"/>
        </w:rPr>
        <w:t>%。决算数与年初预算数存在差异的主要原因是</w:t>
      </w:r>
      <w:r>
        <w:rPr>
          <w:rFonts w:hint="eastAsia" w:ascii="仿宋_GB2312" w:hAnsi="仿宋_GB2312" w:eastAsia="仿宋_GB2312"/>
          <w:sz w:val="32"/>
          <w:highlight w:val="none"/>
          <w:lang w:eastAsia="zh-CN"/>
        </w:rPr>
        <w:t>人员变动。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156.42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与上年度相比，减少</w:t>
      </w:r>
      <w:r>
        <w:rPr>
          <w:rFonts w:hint="eastAsia" w:ascii="仿宋_GB2312" w:hAnsi="仿宋_GB2312" w:eastAsia="仿宋_GB2312" w:cs="仿宋_GB2312"/>
          <w:sz w:val="32"/>
          <w:szCs w:val="32"/>
          <w:highlight w:val="none"/>
          <w:lang w:val="en-US" w:eastAsia="zh-CN"/>
        </w:rPr>
        <w:t>8.67</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5.25</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人员减少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128.51</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27.91</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年度“三公”经费财政拨款支出预算为0万元，支出决算为0万元，完成预算的0%。</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wave"/>
        </w:rPr>
        <w:t>全年因公出国（境）团组</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个，累计</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次。</w:t>
      </w:r>
      <w:r>
        <w:rPr>
          <w:rFonts w:hint="eastAsia" w:ascii="仿宋_GB2312" w:hAnsi="仿宋_GB2312" w:eastAsia="仿宋_GB2312" w:cs="仿宋_GB2312"/>
          <w:sz w:val="32"/>
          <w:szCs w:val="32"/>
        </w:rPr>
        <w:t>开支内容包括：</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会议支出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pPr>
        <w:widowControl/>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出国谈判、工作磋商支出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境外业务培训支出支出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numPr>
          <w:ilvl w:val="0"/>
          <w:numId w:val="2"/>
        </w:numPr>
        <w:spacing w:line="59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2"/>
        </w:numPr>
        <w:spacing w:line="590" w:lineRule="exact"/>
        <w:ind w:left="0" w:leftChars="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我部门（单位）纳入预算绩效管理的支出总额为521.11万元，其中人员经费支出128.51万元，公用经费支出27.91万元；支出项目共1个，支出金额364.69万元。其中，进行项目绩效自评1个，自评金额364.69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绩效评价结果显示，支出绩效情况较为理想，达到了申请设定的各项绩效目标。</w:t>
      </w:r>
    </w:p>
    <w:p>
      <w:pPr>
        <w:widowControl/>
        <w:numPr>
          <w:ilvl w:val="0"/>
          <w:numId w:val="3"/>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重点绩效评价结果。</w:t>
      </w:r>
    </w:p>
    <w:p>
      <w:pPr>
        <w:widowControl/>
        <w:numPr>
          <w:ilvl w:val="0"/>
          <w:numId w:val="0"/>
        </w:numPr>
        <w:spacing w:line="590" w:lineRule="exact"/>
        <w:ind w:firstLine="960" w:firstLineChars="300"/>
        <w:outlineLvl w:val="2"/>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2021年度政府性基金预算财政拨款支出年初预算为0万元，支出决算为0万元，完成年初预算的0%。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spacing w:beforeLines="0" w:afterLines="0" w:line="590" w:lineRule="exact"/>
        <w:ind w:firstLine="640"/>
        <w:rPr>
          <w:rFonts w:hint="eastAsia" w:ascii="仿宋_GB2312" w:hAnsi="仿宋_GB2312" w:eastAsia="仿宋_GB2312" w:cs="仿宋_GB2312"/>
          <w:sz w:val="32"/>
          <w:szCs w:val="32"/>
        </w:rPr>
      </w:pPr>
      <w:r>
        <w:rPr>
          <w:rFonts w:hint="eastAsia" w:ascii="仿宋_GB2312" w:hAnsi="仿宋_GB2312" w:eastAsia="仿宋_GB2312"/>
          <w:sz w:val="32"/>
          <w:highlight w:val="none"/>
          <w:lang w:val="en-US"/>
        </w:rPr>
        <w:t>2021年度机关运行经费初预算为</w:t>
      </w:r>
      <w:r>
        <w:rPr>
          <w:rFonts w:hint="eastAsia" w:ascii="仿宋_GB2312" w:hAnsi="仿宋_GB2312" w:eastAsia="仿宋_GB2312"/>
          <w:sz w:val="32"/>
          <w:highlight w:val="none"/>
          <w:lang w:val="en-US" w:eastAsia="zh-CN"/>
        </w:rPr>
        <w:t>13.35</w:t>
      </w:r>
      <w:r>
        <w:rPr>
          <w:rFonts w:hint="eastAsia" w:ascii="仿宋_GB2312" w:hAnsi="仿宋_GB2312" w:eastAsia="仿宋_GB2312"/>
          <w:sz w:val="32"/>
          <w:highlight w:val="none"/>
          <w:lang w:val="en-US"/>
        </w:rPr>
        <w:t>万元，支出决算为</w:t>
      </w:r>
      <w:r>
        <w:rPr>
          <w:rFonts w:hint="eastAsia" w:ascii="仿宋_GB2312" w:hAnsi="仿宋_GB2312" w:eastAsia="仿宋_GB2312"/>
          <w:sz w:val="32"/>
          <w:highlight w:val="none"/>
          <w:lang w:val="en-US" w:eastAsia="zh-CN"/>
        </w:rPr>
        <w:t>27.91</w:t>
      </w:r>
      <w:r>
        <w:rPr>
          <w:rFonts w:hint="eastAsia" w:ascii="仿宋_GB2312" w:hAnsi="仿宋_GB2312" w:eastAsia="仿宋_GB2312"/>
          <w:sz w:val="32"/>
          <w:highlight w:val="none"/>
          <w:lang w:val="en-US"/>
        </w:rPr>
        <w:t>万元，完成年初预算</w:t>
      </w:r>
      <w:bookmarkStart w:id="0" w:name="_GoBack"/>
      <w:bookmarkEnd w:id="0"/>
      <w:r>
        <w:rPr>
          <w:rFonts w:hint="eastAsia" w:ascii="仿宋_GB2312" w:hAnsi="仿宋_GB2312" w:eastAsia="仿宋_GB2312"/>
          <w:sz w:val="32"/>
          <w:highlight w:val="none"/>
          <w:lang w:val="en-US"/>
        </w:rPr>
        <w:t>的</w:t>
      </w:r>
      <w:r>
        <w:rPr>
          <w:rFonts w:hint="eastAsia" w:ascii="仿宋_GB2312" w:hAnsi="仿宋_GB2312" w:eastAsia="仿宋_GB2312"/>
          <w:sz w:val="32"/>
          <w:highlight w:val="none"/>
          <w:lang w:val="en-US" w:eastAsia="zh-CN"/>
        </w:rPr>
        <w:t>200</w:t>
      </w:r>
      <w:r>
        <w:rPr>
          <w:rFonts w:hint="eastAsia" w:ascii="仿宋_GB2312" w:hAnsi="仿宋_GB2312" w:eastAsia="仿宋_GB2312"/>
          <w:sz w:val="32"/>
          <w:highlight w:val="none"/>
          <w:lang w:val="en-US"/>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年中增加两名见习生</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rPr>
        <w:t>度机关运行经费支出</w:t>
      </w:r>
      <w:r>
        <w:rPr>
          <w:rFonts w:hint="eastAsia" w:ascii="仿宋_GB2312" w:hAnsi="仿宋_GB2312" w:eastAsia="仿宋_GB2312" w:cs="仿宋_GB2312"/>
          <w:sz w:val="32"/>
          <w:szCs w:val="32"/>
          <w:highlight w:val="none"/>
          <w:lang w:val="en-US" w:eastAsia="zh-CN"/>
        </w:rPr>
        <w:t>27.91</w:t>
      </w:r>
      <w:r>
        <w:rPr>
          <w:rFonts w:hint="eastAsia" w:ascii="仿宋_GB2312" w:hAnsi="仿宋_GB2312" w:eastAsia="仿宋_GB2312" w:cs="仿宋_GB2312"/>
          <w:sz w:val="32"/>
          <w:szCs w:val="32"/>
          <w:highlight w:val="none"/>
        </w:rPr>
        <w:t>万元，较上年度增加减少</w:t>
      </w:r>
      <w:r>
        <w:rPr>
          <w:rFonts w:hint="eastAsia" w:ascii="仿宋_GB2312" w:hAnsi="仿宋_GB2312" w:eastAsia="仿宋_GB2312" w:cs="仿宋_GB2312"/>
          <w:sz w:val="32"/>
          <w:szCs w:val="32"/>
          <w:highlight w:val="none"/>
          <w:lang w:val="en-US" w:eastAsia="zh-CN"/>
        </w:rPr>
        <w:t>17.93</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39.11</w:t>
      </w:r>
      <w:r>
        <w:rPr>
          <w:rFonts w:hint="eastAsia" w:ascii="仿宋_GB2312" w:hAnsi="仿宋_GB2312" w:eastAsia="仿宋_GB2312" w:cs="仿宋_GB2312"/>
          <w:sz w:val="32"/>
          <w:szCs w:val="32"/>
          <w:highlight w:val="none"/>
        </w:rPr>
        <w:t>%。减少的主要原因是：</w:t>
      </w:r>
      <w:r>
        <w:rPr>
          <w:rFonts w:hint="eastAsia" w:ascii="仿宋_GB2312" w:hAnsi="仿宋_GB2312" w:eastAsia="仿宋_GB2312" w:cs="仿宋_GB2312"/>
          <w:sz w:val="32"/>
          <w:szCs w:val="32"/>
          <w:highlight w:val="none"/>
          <w:lang w:eastAsia="zh-CN"/>
        </w:rPr>
        <w:t>人员变动。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CC43"/>
    <w:multiLevelType w:val="singleLevel"/>
    <w:tmpl w:val="812DCC43"/>
    <w:lvl w:ilvl="0" w:tentative="0">
      <w:start w:val="2"/>
      <w:numFmt w:val="decimal"/>
      <w:suff w:val="nothing"/>
      <w:lvlText w:val="%1．"/>
      <w:lvlJc w:val="left"/>
    </w:lvl>
  </w:abstractNum>
  <w:abstractNum w:abstractNumId="1">
    <w:nsid w:val="BF1AE12C"/>
    <w:multiLevelType w:val="singleLevel"/>
    <w:tmpl w:val="BF1AE12C"/>
    <w:lvl w:ilvl="0" w:tentative="0">
      <w:start w:val="3"/>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FlNDlhN2UyOGEyMzVjNDEwY2YyM2YzNzY2MzQifQ=="/>
  </w:docVars>
  <w:rsids>
    <w:rsidRoot w:val="00000000"/>
    <w:rsid w:val="05767FDC"/>
    <w:rsid w:val="058871B8"/>
    <w:rsid w:val="068A502B"/>
    <w:rsid w:val="09D83026"/>
    <w:rsid w:val="0DAA5DD2"/>
    <w:rsid w:val="10EE5E98"/>
    <w:rsid w:val="21DC286A"/>
    <w:rsid w:val="22234769"/>
    <w:rsid w:val="23024E6A"/>
    <w:rsid w:val="240E06F2"/>
    <w:rsid w:val="24CC48ED"/>
    <w:rsid w:val="2750185C"/>
    <w:rsid w:val="29D12B98"/>
    <w:rsid w:val="2C250F60"/>
    <w:rsid w:val="2D5347F6"/>
    <w:rsid w:val="34BB2AED"/>
    <w:rsid w:val="3CA46732"/>
    <w:rsid w:val="3E4C25CA"/>
    <w:rsid w:val="4701142B"/>
    <w:rsid w:val="49121417"/>
    <w:rsid w:val="497A2108"/>
    <w:rsid w:val="4D910F43"/>
    <w:rsid w:val="4EFC09E4"/>
    <w:rsid w:val="540715B0"/>
    <w:rsid w:val="587F2E51"/>
    <w:rsid w:val="59C300F9"/>
    <w:rsid w:val="6A5D0B64"/>
    <w:rsid w:val="6F570BBD"/>
    <w:rsid w:val="6FBF3137"/>
    <w:rsid w:val="70200ADC"/>
    <w:rsid w:val="76D23D36"/>
    <w:rsid w:val="77134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8062</Words>
  <Characters>9682</Characters>
  <Lines>0</Lines>
  <Paragraphs>0</Paragraphs>
  <TotalTime>7</TotalTime>
  <ScaleCrop>false</ScaleCrop>
  <LinksUpToDate>false</LinksUpToDate>
  <CharactersWithSpaces>9996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田辉</cp:lastModifiedBy>
  <dcterms:modified xsi:type="dcterms:W3CDTF">2023-05-24T00:32:56Z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99AFFB1404A44CEA920A0370D050989E_13</vt:lpwstr>
  </property>
</Properties>
</file>