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2021年度</w:t>
      </w:r>
    </w:p>
    <w:p>
      <w:pPr>
        <w:jc w:val="center"/>
        <w:rPr>
          <w:rFonts w:ascii="黑体" w:hAnsi="黑体" w:eastAsia="黑体" w:cs="黑体"/>
          <w:sz w:val="52"/>
          <w:szCs w:val="52"/>
        </w:rPr>
      </w:pPr>
      <w:r>
        <w:rPr>
          <w:rFonts w:hint="eastAsia" w:ascii="黑体" w:hAnsi="黑体" w:eastAsia="黑体" w:cs="黑体"/>
          <w:sz w:val="52"/>
          <w:szCs w:val="52"/>
        </w:rPr>
        <w:t>中共义马市委统一战线工作部</w:t>
      </w:r>
    </w:p>
    <w:p>
      <w:pPr>
        <w:jc w:val="center"/>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中共义马市委统一战线工作部门概况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2021年度部门决算情况说明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ascii="宋体" w:hAnsi="宋体" w:cs="宋体"/>
          <w:sz w:val="32"/>
          <w:szCs w:val="32"/>
        </w:rPr>
      </w:pPr>
      <w:r>
        <w:rPr>
          <w:rFonts w:hint="eastAsia" w:ascii="宋体" w:hAnsi="宋体" w:cs="宋体"/>
          <w:sz w:val="32"/>
          <w:szCs w:val="32"/>
        </w:rPr>
        <w:t>十二、预算绩效情况说明</w:t>
      </w:r>
    </w:p>
    <w:p>
      <w:pPr>
        <w:jc w:val="left"/>
        <w:rPr>
          <w:rFonts w:ascii="宋体" w:hAnsi="宋体" w:cs="宋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中共义马市委统一战线工作部门概况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numPr>
          <w:ilvl w:val="0"/>
          <w:numId w:val="2"/>
        </w:numPr>
        <w:spacing w:line="360" w:lineRule="auto"/>
        <w:ind w:firstLine="640" w:firstLineChars="200"/>
        <w:jc w:val="left"/>
        <w:rPr>
          <w:rFonts w:hint="eastAsia" w:ascii="黑体" w:hAnsi="黑体" w:eastAsia="黑体" w:cs="黑体"/>
          <w:bCs/>
          <w:sz w:val="32"/>
          <w:szCs w:val="32"/>
        </w:rPr>
      </w:pPr>
      <w:r>
        <w:rPr>
          <w:rFonts w:hint="eastAsia" w:ascii="黑体" w:hAnsi="黑体" w:eastAsia="黑体" w:cs="黑体"/>
          <w:kern w:val="0"/>
          <w:sz w:val="32"/>
          <w:szCs w:val="32"/>
        </w:rPr>
        <w:t>部门</w:t>
      </w:r>
      <w:r>
        <w:rPr>
          <w:rFonts w:hint="eastAsia" w:ascii="黑体" w:hAnsi="黑体" w:eastAsia="黑体" w:cs="黑体"/>
          <w:bCs/>
          <w:sz w:val="32"/>
          <w:szCs w:val="32"/>
        </w:rPr>
        <w:t>职责</w:t>
      </w:r>
    </w:p>
    <w:p>
      <w:pPr>
        <w:numPr>
          <w:ilvl w:val="0"/>
          <w:numId w:val="0"/>
        </w:num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中央、省委、市委关于统一战线工作的方针、政策，并对统一战线的理论和方针政策调查研究；向上级统战部门和市委反映情况，提出开展统战工作的意见和建议；检查统战政策执行情况，协调统一战线各方面的关系。</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负责联系全市民主党派和无党派人士，及时通报情况，反映他们的意见和建议；研究、贯彻党领导的多党合作和政治协商制度以及对民主党派的方针、政策；落实中央和上级党委关于发挥民主党派和无党派人士参政议政和民主监督作用的方针政策和安排部署，为市委同民主党派进行政治协商做好组织联系工作；受市委委托，向民主党派、无党派代表人士通报市委的重要情况和重大决定；支持、帮助民主党派加强自身建设，培养选拔新一代代表人物；协助有关部门帮助民主党派改善工作条件。</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（三）负责调查研究、督促检查有关民族和宗教工作重大方针、政策的贯彻落实情况，联系少数民族和宗教界代表人物。  </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（四）负责开展以祖国统一及促进我市经济发展为重点的海外统战工作，联系香港、澳门和海外有关社团及代表人士；做好台胞台属的有关工作；开展海内外统一战线的宣传工作。   </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负责党外人士的政治安排；会同组织部门做好培养、考察、选拔、推荐党外人士担任人大机关、政府工作部门、政协机关和司法机关及乡镇领导职务的工作；做好党外后备干部和新的代表人物队伍的建设工作；负责市人大党外代表和市政协委员配备工作。</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调查研究并反映我市非公有制经济代表人士情况，协调关系、提出政策建议；协助有关部门做好非公有制经济组织中党、团和工会组织建设；团结、帮助、教育、引导非公有制经济代表人士，积极开展思想政治工作；参与有关规范性文件的研究制定，为促进我市非公有制经济的发展提供服务。</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（七）负责联系、培养党外知识分子代表人物；调查研究党外知识分子情况，反映意见，协调关系，提出政策建议。</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（八）负责联系指导市工商联、市侨联等有关社会团体工作；会同有关部门做好宗教团体的人士安排工作，负责做好有关统战对象的工作。</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（九）负责指导我市各基层党委、人民团体、企事业单位的统一战线工作；负责协调统一战线有关部门的联系；负责全市党外干部和统战系统干部的培训工作。</w:t>
      </w:r>
    </w:p>
    <w:p>
      <w:pPr>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（十）完成上级党委统战部门和市委交办的其他工作。</w:t>
      </w:r>
    </w:p>
    <w:p>
      <w:pPr>
        <w:widowControl/>
        <w:numPr>
          <w:ilvl w:val="0"/>
          <w:numId w:val="3"/>
        </w:numPr>
        <w:jc w:val="left"/>
        <w:outlineLvl w:val="1"/>
        <w:rPr>
          <w:rFonts w:ascii="黑体" w:hAnsi="黑体" w:eastAsia="黑体" w:cs="黑体"/>
          <w:kern w:val="0"/>
          <w:sz w:val="32"/>
          <w:szCs w:val="32"/>
        </w:rPr>
      </w:pPr>
      <w:r>
        <w:rPr>
          <w:rFonts w:hint="eastAsia" w:ascii="黑体" w:hAnsi="黑体" w:eastAsia="黑体" w:cs="黑体"/>
          <w:kern w:val="0"/>
          <w:sz w:val="32"/>
          <w:szCs w:val="32"/>
        </w:rPr>
        <w:t>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中共义马市委统一战线工作部门内设机构5个，包括：</w:t>
      </w:r>
      <w:r>
        <w:rPr>
          <w:rFonts w:hint="eastAsia" w:ascii="仿宋_GB2312" w:eastAsia="仿宋_GB2312"/>
          <w:color w:val="000000"/>
          <w:kern w:val="0"/>
          <w:sz w:val="32"/>
          <w:szCs w:val="32"/>
        </w:rPr>
        <w:t>义马市委统战部</w:t>
      </w:r>
      <w:r>
        <w:rPr>
          <w:rFonts w:hint="eastAsia" w:ascii="仿宋_GB2312" w:hAnsi="仿宋_GB2312" w:eastAsia="仿宋_GB2312" w:cs="仿宋_GB2312"/>
          <w:sz w:val="32"/>
          <w:szCs w:val="32"/>
        </w:rPr>
        <w:t>部机关本级、</w:t>
      </w:r>
      <w:r>
        <w:rPr>
          <w:rFonts w:hint="eastAsia" w:ascii="仿宋_GB2312" w:eastAsia="仿宋_GB2312"/>
          <w:color w:val="000000"/>
          <w:kern w:val="0"/>
          <w:sz w:val="32"/>
          <w:szCs w:val="32"/>
        </w:rPr>
        <w:t>义马市民族宗教事务委员会</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义马市归国华侨联合会</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义马市台湾工作办公室</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义马市统战理论宣传办公室</w:t>
      </w:r>
      <w:r>
        <w:rPr>
          <w:rFonts w:hint="eastAsia" w:ascii="仿宋_GB2312" w:hAnsi="仿宋_GB2312" w:eastAsia="仿宋_GB2312" w:cs="仿宋_GB2312"/>
          <w:kern w:val="0"/>
          <w:sz w:val="32"/>
          <w:szCs w:val="32"/>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从决算单位构成看，中共义马市委统一战线工作部门部门决算包括：汇总决算。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纳入本部门2021年度部门决算编制范围的单位共2个，其中二级预算单位包括：</w:t>
      </w:r>
    </w:p>
    <w:p>
      <w:pPr>
        <w:spacing w:line="360" w:lineRule="auto"/>
        <w:ind w:firstLine="640" w:firstLineChars="200"/>
        <w:jc w:val="left"/>
        <w:rPr>
          <w:rFonts w:ascii="仿宋_GB2312" w:hAnsi="仿宋_GB2312" w:eastAsia="仿宋_GB2312" w:cs="仿宋_GB2312"/>
          <w:sz w:val="32"/>
          <w:szCs w:val="32"/>
        </w:rPr>
      </w:pPr>
      <w:r>
        <w:rPr>
          <w:rFonts w:hint="eastAsia" w:ascii="仿宋_GB2312" w:eastAsia="仿宋_GB2312"/>
          <w:color w:val="000000"/>
          <w:kern w:val="0"/>
          <w:sz w:val="32"/>
          <w:szCs w:val="32"/>
        </w:rPr>
        <w:t>1、义马市委统战部</w:t>
      </w:r>
      <w:r>
        <w:rPr>
          <w:rFonts w:hint="eastAsia" w:ascii="仿宋_GB2312" w:hAnsi="仿宋_GB2312" w:eastAsia="仿宋_GB2312" w:cs="仿宋_GB2312"/>
          <w:sz w:val="32"/>
          <w:szCs w:val="32"/>
        </w:rPr>
        <w:t>部机关本级</w:t>
      </w:r>
    </w:p>
    <w:p>
      <w:pPr>
        <w:spacing w:line="360" w:lineRule="auto"/>
        <w:ind w:firstLine="640" w:firstLineChars="200"/>
        <w:jc w:val="left"/>
        <w:rPr>
          <w:rFonts w:ascii="仿宋_GB2312" w:hAnsi="仿宋_GB2312" w:eastAsia="仿宋_GB2312" w:cs="仿宋_GB2312"/>
          <w:sz w:val="32"/>
          <w:szCs w:val="32"/>
        </w:rPr>
      </w:pPr>
      <w:r>
        <w:rPr>
          <w:rFonts w:hint="eastAsia" w:ascii="仿宋_GB2312" w:eastAsia="仿宋_GB2312"/>
          <w:color w:val="000000"/>
          <w:kern w:val="0"/>
          <w:sz w:val="32"/>
          <w:szCs w:val="32"/>
        </w:rPr>
        <w:t>2、</w:t>
      </w:r>
      <w:r>
        <w:rPr>
          <w:rFonts w:ascii="仿宋_GB2312" w:hAnsi="仿宋_GB2312" w:eastAsia="仿宋_GB2312" w:cs="仿宋_GB2312"/>
          <w:sz w:val="32"/>
          <w:szCs w:val="32"/>
        </w:rPr>
        <w:t>义马市工商业联合会</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Layout w:type="fixed"/>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Layout w:type="fixed"/>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Layout w:type="fixed"/>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部门：中共义马市委统一战线工作部门</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26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Layout w:type="fixed"/>
          <w:tblCellMar>
            <w:top w:w="0" w:type="dxa"/>
            <w:left w:w="0" w:type="dxa"/>
            <w:bottom w:w="0" w:type="dxa"/>
            <w:right w:w="0" w:type="dxa"/>
          </w:tblCellMar>
        </w:tblPrEx>
        <w:trPr>
          <w:trHeight w:val="29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Layout w:type="fixed"/>
          <w:tblCellMar>
            <w:top w:w="0" w:type="dxa"/>
            <w:left w:w="0" w:type="dxa"/>
            <w:bottom w:w="0" w:type="dxa"/>
            <w:right w:w="0" w:type="dxa"/>
          </w:tblCellMar>
        </w:tblPrEx>
        <w:trPr>
          <w:trHeight w:val="29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Layout w:type="fixed"/>
          <w:tblCellMar>
            <w:top w:w="0" w:type="dxa"/>
            <w:left w:w="0" w:type="dxa"/>
            <w:bottom w:w="0" w:type="dxa"/>
            <w:right w:w="0" w:type="dxa"/>
          </w:tblCellMar>
        </w:tblPrEx>
        <w:trPr>
          <w:trHeight w:val="30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326.02</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270.27</w:t>
            </w:r>
          </w:p>
        </w:tc>
      </w:tr>
      <w:tr>
        <w:tblPrEx>
          <w:tblLayout w:type="fixed"/>
          <w:tblCellMar>
            <w:top w:w="0" w:type="dxa"/>
            <w:left w:w="0" w:type="dxa"/>
            <w:bottom w:w="0" w:type="dxa"/>
            <w:right w:w="0" w:type="dxa"/>
          </w:tblCellMar>
        </w:tblPrEx>
        <w:trPr>
          <w:trHeight w:val="32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9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w:t>
            </w:r>
          </w:p>
        </w:tc>
      </w:tr>
      <w:tr>
        <w:tblPrEx>
          <w:tblLayout w:type="fixed"/>
          <w:tblCellMar>
            <w:top w:w="0" w:type="dxa"/>
            <w:left w:w="0" w:type="dxa"/>
            <w:bottom w:w="0" w:type="dxa"/>
            <w:right w:w="0" w:type="dxa"/>
          </w:tblCellMar>
        </w:tblPrEx>
        <w:trPr>
          <w:trHeight w:val="3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13.91</w:t>
            </w:r>
          </w:p>
        </w:tc>
      </w:tr>
      <w:tr>
        <w:tblPrEx>
          <w:tblLayout w:type="fixed"/>
          <w:tblCellMar>
            <w:top w:w="0" w:type="dxa"/>
            <w:left w:w="0" w:type="dxa"/>
            <w:bottom w:w="0" w:type="dxa"/>
            <w:right w:w="0" w:type="dxa"/>
          </w:tblCellMar>
        </w:tblPrEx>
        <w:trPr>
          <w:trHeight w:val="2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32.97</w:t>
            </w:r>
          </w:p>
        </w:tc>
      </w:tr>
      <w:tr>
        <w:tblPrEx>
          <w:tblLayout w:type="fixed"/>
          <w:tblCellMar>
            <w:top w:w="0" w:type="dxa"/>
            <w:left w:w="0" w:type="dxa"/>
            <w:bottom w:w="0" w:type="dxa"/>
            <w:right w:w="0" w:type="dxa"/>
          </w:tblCellMar>
        </w:tblPrEx>
        <w:trPr>
          <w:trHeight w:val="24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八、卫生健康支出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8.87   </w:t>
            </w:r>
          </w:p>
        </w:tc>
      </w:tr>
      <w:tr>
        <w:tblPrEx>
          <w:tblLayout w:type="fixed"/>
          <w:tblCellMar>
            <w:top w:w="0" w:type="dxa"/>
            <w:left w:w="0" w:type="dxa"/>
            <w:bottom w:w="0" w:type="dxa"/>
            <w:right w:w="0" w:type="dxa"/>
          </w:tblCellMar>
        </w:tblPrEx>
        <w:trPr>
          <w:trHeight w:val="31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326.02</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ind w:firstLine="1004" w:firstLineChars="500"/>
              <w:rPr>
                <w:rFonts w:ascii="宋体" w:hAnsi="宋体" w:cs="宋体"/>
                <w:b/>
                <w:color w:val="000000"/>
                <w:sz w:val="20"/>
                <w:szCs w:val="20"/>
              </w:rPr>
            </w:pPr>
            <w:r>
              <w:rPr>
                <w:rFonts w:hint="eastAsia" w:ascii="宋体" w:hAnsi="宋体" w:cs="宋体"/>
                <w:b/>
                <w:color w:val="000000"/>
                <w:sz w:val="20"/>
                <w:szCs w:val="20"/>
              </w:rPr>
              <w:t>328.12</w:t>
            </w:r>
          </w:p>
        </w:tc>
      </w:tr>
      <w:tr>
        <w:tblPrEx>
          <w:tblLayout w:type="fixed"/>
          <w:tblCellMar>
            <w:top w:w="0" w:type="dxa"/>
            <w:left w:w="0" w:type="dxa"/>
            <w:bottom w:w="0" w:type="dxa"/>
            <w:right w:w="0" w:type="dxa"/>
          </w:tblCellMar>
        </w:tblPrEx>
        <w:trPr>
          <w:trHeight w:val="2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ind w:firstLine="1000" w:firstLineChars="500"/>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4"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328.12</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ind w:firstLine="1004" w:firstLineChars="500"/>
              <w:rPr>
                <w:rFonts w:ascii="宋体" w:hAnsi="宋体" w:cs="宋体"/>
                <w:b/>
                <w:color w:val="000000"/>
                <w:sz w:val="20"/>
                <w:szCs w:val="20"/>
              </w:rPr>
            </w:pPr>
            <w:r>
              <w:rPr>
                <w:rFonts w:hint="eastAsia" w:ascii="宋体" w:hAnsi="宋体" w:cs="宋体"/>
                <w:b/>
                <w:color w:val="000000"/>
                <w:sz w:val="20"/>
                <w:szCs w:val="20"/>
              </w:rPr>
              <w:t>328.12</w:t>
            </w:r>
          </w:p>
        </w:tc>
      </w:tr>
      <w:tr>
        <w:tblPrEx>
          <w:tblLayout w:type="fixed"/>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45" w:type="dxa"/>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blPrEx>
          <w:tblLayout w:type="fixed"/>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Layout w:type="fixed"/>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公开02表</w:t>
            </w:r>
          </w:p>
        </w:tc>
      </w:tr>
      <w:tr>
        <w:tblPrEx>
          <w:tblLayout w:type="fixed"/>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rPr>
              <w:t>部门：中共义马市委统一战线工作部门</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355"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Layout w:type="fixed"/>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功能分类</w:t>
            </w:r>
          </w:p>
          <w:p>
            <w:pPr>
              <w:jc w:val="left"/>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312"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37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7</w:t>
            </w:r>
          </w:p>
        </w:tc>
      </w:tr>
      <w:tr>
        <w:tblPrEx>
          <w:tblLayout w:type="fixed"/>
          <w:tblCellMar>
            <w:top w:w="0" w:type="dxa"/>
            <w:left w:w="0" w:type="dxa"/>
            <w:bottom w:w="0" w:type="dxa"/>
            <w:right w:w="0" w:type="dxa"/>
          </w:tblCellMar>
        </w:tblPrEx>
        <w:trPr>
          <w:trHeight w:val="345"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326.02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326.02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5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201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270.27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270.27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20128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民主党派及工商联事务支出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45.81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45.81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20134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统战事务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32.97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32.97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8.87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8.87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13.91</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13.91</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120"/>
        <w:gridCol w:w="63"/>
        <w:gridCol w:w="27"/>
        <w:gridCol w:w="1499"/>
        <w:gridCol w:w="1624"/>
        <w:gridCol w:w="130"/>
        <w:gridCol w:w="1672"/>
        <w:gridCol w:w="232"/>
        <w:gridCol w:w="1569"/>
        <w:gridCol w:w="335"/>
        <w:gridCol w:w="1467"/>
        <w:gridCol w:w="437"/>
        <w:gridCol w:w="1364"/>
        <w:gridCol w:w="540"/>
        <w:gridCol w:w="1909"/>
      </w:tblGrid>
      <w:tr>
        <w:tblPrEx>
          <w:tblLayout w:type="fixed"/>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Layout w:type="fixed"/>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2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公开03表</w:t>
            </w:r>
          </w:p>
        </w:tc>
      </w:tr>
      <w:tr>
        <w:tblPrEx>
          <w:tblLayout w:type="fixed"/>
          <w:tblCellMar>
            <w:top w:w="0" w:type="dxa"/>
            <w:left w:w="0" w:type="dxa"/>
            <w:bottom w:w="0" w:type="dxa"/>
            <w:right w:w="0" w:type="dxa"/>
          </w:tblCellMar>
        </w:tblPrEx>
        <w:trPr>
          <w:trHeight w:val="300" w:hRule="atLeast"/>
        </w:trPr>
        <w:tc>
          <w:tcPr>
            <w:tcW w:w="4333" w:type="dxa"/>
            <w:gridSpan w:val="5"/>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kern w:val="0"/>
                <w:sz w:val="20"/>
                <w:szCs w:val="20"/>
              </w:rPr>
              <w:t>部门：中共义马市委统一战线工作部门</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365" w:hRule="atLeast"/>
        </w:trPr>
        <w:tc>
          <w:tcPr>
            <w:tcW w:w="270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75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Layout w:type="fixed"/>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5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7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12"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5" w:hRule="atLeast"/>
        </w:trPr>
        <w:tc>
          <w:tcPr>
            <w:tcW w:w="270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Layout w:type="fixed"/>
          <w:tblCellMar>
            <w:top w:w="0" w:type="dxa"/>
            <w:left w:w="0" w:type="dxa"/>
            <w:bottom w:w="0" w:type="dxa"/>
            <w:right w:w="0" w:type="dxa"/>
          </w:tblCellMar>
        </w:tblPrEx>
        <w:trPr>
          <w:trHeight w:val="405" w:hRule="atLeast"/>
        </w:trPr>
        <w:tc>
          <w:tcPr>
            <w:tcW w:w="270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合计</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328.12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328.12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24"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201</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270.27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270.27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20128</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民主党派及工商联事务支出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45.81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45.81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20134</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统战事务</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32.97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32.97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8.87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8.87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农林水支出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13.91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13.91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Layout w:type="fixed"/>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Layout w:type="fixed"/>
          <w:tblCellMar>
            <w:top w:w="0" w:type="dxa"/>
            <w:left w:w="0" w:type="dxa"/>
            <w:bottom w:w="0" w:type="dxa"/>
            <w:right w:w="0" w:type="dxa"/>
          </w:tblCellMar>
        </w:tblPrEx>
        <w:trPr>
          <w:trHeight w:val="282"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部门：中共义马市委统一战线工作部门</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257"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Layout w:type="fixed"/>
          <w:tblCellMar>
            <w:top w:w="0" w:type="dxa"/>
            <w:left w:w="0" w:type="dxa"/>
            <w:bottom w:w="0" w:type="dxa"/>
            <w:right w:w="0" w:type="dxa"/>
          </w:tblCellMar>
        </w:tblPrEx>
        <w:trPr>
          <w:trHeight w:val="50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r>
      <w:tr>
        <w:tblPrEx>
          <w:tblLayout w:type="fixed"/>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Layout w:type="fixed"/>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326.02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270.27</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270.27</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13.91</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13.91</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32.97</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32.97</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八、卫生健康支出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8.87</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8.87</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326.02</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328.12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328.12</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r>
      <w:tr>
        <w:tblPrEx>
          <w:tblLayout w:type="fixed"/>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1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328.12</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328.12</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328.12</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r>
      <w:tr>
        <w:tblPrEx>
          <w:tblLayout w:type="fixed"/>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Layout w:type="fixed"/>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w:t>
            </w:r>
            <w:r>
              <w:rPr>
                <w:rStyle w:val="7"/>
                <w:rFonts w:hint="default"/>
              </w:rPr>
              <w:t>5表</w:t>
            </w:r>
          </w:p>
        </w:tc>
      </w:tr>
      <w:tr>
        <w:tblPrEx>
          <w:tblLayout w:type="fixed"/>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部门：中共义马市委统一战线工作部门</w:t>
            </w: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项 </w:t>
            </w:r>
            <w:r>
              <w:rPr>
                <w:rStyle w:val="8"/>
                <w:rFonts w:hint="default"/>
                <w:sz w:val="20"/>
                <w:szCs w:val="20"/>
              </w:rPr>
              <w:t xml:space="preserve">   </w:t>
            </w:r>
            <w:r>
              <w:rPr>
                <w:rStyle w:val="9"/>
                <w:rFonts w:hint="default"/>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Layout w:type="fixed"/>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Layout w:type="fixed"/>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Layout w:type="fixed"/>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328.12</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328.12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201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270.27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270.27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20128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民主党派及工商联事务支出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45.81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45.81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20134</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统战事务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32.97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32.97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8.87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8.87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农林水支出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13.91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13.91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Layout w:type="fixed"/>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923"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公开06表</w:t>
            </w:r>
          </w:p>
        </w:tc>
      </w:tr>
      <w:tr>
        <w:tblPrEx>
          <w:tblLayout w:type="fixed"/>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ascii="Arial" w:hAnsi="Arial" w:cs="Arial"/>
                <w:color w:val="000000"/>
                <w:kern w:val="0"/>
                <w:sz w:val="20"/>
                <w:szCs w:val="20"/>
              </w:rPr>
              <w:t>部门：</w:t>
            </w:r>
            <w:r>
              <w:rPr>
                <w:rFonts w:hint="eastAsia" w:ascii="宋体" w:hAnsi="宋体" w:cs="宋体"/>
                <w:color w:val="000000"/>
                <w:kern w:val="0"/>
                <w:sz w:val="20"/>
                <w:szCs w:val="20"/>
              </w:rPr>
              <w:t>中共义马市委统一战线工作部门</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179.67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135.56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63.52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18.52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53.09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24.16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16.93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18.98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3.97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8.87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4.53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13.91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9.26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26.47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2.55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9.68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2.27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10.11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1.49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25.79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14.25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24.65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192.55</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135.56</w:t>
            </w:r>
          </w:p>
        </w:tc>
      </w:tr>
      <w:tr>
        <w:tblPrEx>
          <w:tblLayout w:type="fixed"/>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Layout w:type="fixed"/>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Layout w:type="fixed"/>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rPr>
              <w:t>部门：中共义马市委统一战线工作部门</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4.99</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0.99</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1.49</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1.49</w:t>
            </w:r>
          </w:p>
        </w:tc>
      </w:tr>
      <w:tr>
        <w:tblPrEx>
          <w:tblLayout w:type="fixed"/>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0"/>
                <w:rFonts w:hint="default"/>
                <w:sz w:val="20"/>
                <w:szCs w:val="20"/>
              </w:rPr>
              <w:t>预算数为“三公”经费年初预算数，决算数是包括当年一般公共预算财政拨款和以前年度结转资金安排的实际支出。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Layout w:type="fixed"/>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Layout w:type="fixed"/>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部门：中共义马市委统一战线工作部门</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Layout w:type="fixed"/>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Layout w:type="fixed"/>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一、收入支出决算总体情况说明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rPr>
        <w:t>2021年度收、支总计均为328.12万元。与上年度相比，收、支总计各增加27.36万元，增长9.10%。</w:t>
      </w:r>
      <w:r>
        <w:rPr>
          <w:rFonts w:hint="eastAsia" w:ascii="仿宋_GB2312" w:hAnsi="仿宋_GB2312" w:eastAsia="仿宋_GB2312" w:cs="仿宋_GB2312"/>
          <w:kern w:val="0"/>
          <w:sz w:val="32"/>
          <w:szCs w:val="32"/>
          <w:lang w:val="zh-CN"/>
        </w:rPr>
        <w:t>主要原因是</w:t>
      </w:r>
      <w:r>
        <w:rPr>
          <w:rFonts w:hint="eastAsia" w:ascii="仿宋_GB2312" w:hAnsi="仿宋_GB2312" w:eastAsia="仿宋_GB2312" w:cs="仿宋_GB2312"/>
          <w:sz w:val="32"/>
        </w:rPr>
        <w:t>人员增加，人员工资支出增长</w:t>
      </w:r>
      <w:r>
        <w:rPr>
          <w:rFonts w:hint="eastAsia" w:ascii="仿宋_GB2312" w:hAnsi="仿宋_GB2312" w:eastAsia="仿宋_GB2312" w:cs="仿宋_GB2312"/>
          <w:kern w:val="0"/>
          <w:sz w:val="32"/>
          <w:szCs w:val="32"/>
          <w:lang w:val="zh-CN"/>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二、收入决算情况说明</w:t>
      </w:r>
    </w:p>
    <w:p>
      <w:pPr>
        <w:autoSpaceDE w:val="0"/>
        <w:autoSpaceDN w:val="0"/>
        <w:adjustRightInd w:val="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2021年度收入合计</w:t>
      </w:r>
      <w:r>
        <w:rPr>
          <w:rFonts w:hint="eastAsia" w:ascii="仿宋_GB2312" w:hAnsi="仿宋_GB2312" w:eastAsia="仿宋_GB2312" w:cs="仿宋_GB2312"/>
          <w:sz w:val="32"/>
          <w:lang w:val="en-US" w:eastAsia="zh-CN"/>
        </w:rPr>
        <w:t>326.02</w:t>
      </w:r>
      <w:r>
        <w:rPr>
          <w:rFonts w:hint="eastAsia" w:ascii="仿宋_GB2312" w:hAnsi="仿宋_GB2312" w:eastAsia="仿宋_GB2312" w:cs="仿宋_GB2312"/>
          <w:sz w:val="32"/>
        </w:rPr>
        <w:t>万元，其中：财政拨款收入</w:t>
      </w:r>
      <w:r>
        <w:rPr>
          <w:rFonts w:hint="eastAsia" w:ascii="仿宋_GB2312" w:hAnsi="仿宋_GB2312" w:eastAsia="仿宋_GB2312" w:cs="仿宋_GB2312"/>
          <w:sz w:val="32"/>
          <w:lang w:val="en-US" w:eastAsia="zh-CN"/>
        </w:rPr>
        <w:t>326.02</w:t>
      </w:r>
      <w:bookmarkStart w:id="0" w:name="_GoBack"/>
      <w:bookmarkEnd w:id="0"/>
      <w:r>
        <w:rPr>
          <w:rFonts w:hint="eastAsia" w:ascii="仿宋_GB2312" w:hAnsi="仿宋_GB2312" w:eastAsia="仿宋_GB2312" w:cs="仿宋_GB2312"/>
          <w:sz w:val="32"/>
        </w:rPr>
        <w:t>万元，占100%；上级补助收入0万元，占0%；事业收入0万元，占0%；经营收入0万元，占0%；附属单位上缴收入0万元，占0%；其他收入0万元，占0%。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三、支出决算情况说明</w:t>
      </w:r>
    </w:p>
    <w:p>
      <w:pPr>
        <w:autoSpaceDE w:val="0"/>
        <w:autoSpaceDN w:val="0"/>
        <w:adjustRightInd w:val="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2021年度支出合计328.12万元，其中：基本支出328.12万元，占100%；项目支出0万元，占0%；上缴上级支出0万元，占0%；经营支出0万元，占0%；对附属单位补助支出0万元，占0%。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四、财政拨款收入支出决算总体情况说明</w:t>
      </w:r>
    </w:p>
    <w:p>
      <w:pPr>
        <w:autoSpaceDE w:val="0"/>
        <w:autoSpaceDN w:val="0"/>
        <w:adjustRightInd w:val="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年度财政拨款收、支总计均为</w:t>
      </w:r>
      <w:r>
        <w:rPr>
          <w:rFonts w:hint="eastAsia" w:ascii="仿宋_GB2312" w:hAnsi="仿宋_GB2312" w:eastAsia="仿宋_GB2312" w:cs="仿宋_GB2312"/>
          <w:kern w:val="0"/>
          <w:sz w:val="32"/>
          <w:szCs w:val="32"/>
        </w:rPr>
        <w:t>328.12</w:t>
      </w:r>
      <w:r>
        <w:rPr>
          <w:rFonts w:hint="eastAsia" w:ascii="仿宋_GB2312" w:hAnsi="仿宋_GB2312" w:eastAsia="仿宋_GB2312" w:cs="仿宋_GB2312"/>
          <w:kern w:val="0"/>
          <w:sz w:val="32"/>
          <w:szCs w:val="32"/>
          <w:lang w:val="zh-CN"/>
        </w:rPr>
        <w:t>万元。与上年度相比，财政拨款收、支总计各增加</w:t>
      </w:r>
      <w:r>
        <w:rPr>
          <w:rFonts w:hint="eastAsia" w:ascii="仿宋_GB2312" w:hAnsi="仿宋_GB2312" w:eastAsia="仿宋_GB2312" w:cs="仿宋_GB2312"/>
          <w:kern w:val="0"/>
          <w:sz w:val="32"/>
          <w:szCs w:val="32"/>
        </w:rPr>
        <w:t>27.36</w:t>
      </w:r>
      <w:r>
        <w:rPr>
          <w:rFonts w:hint="eastAsia" w:ascii="仿宋_GB2312" w:hAnsi="仿宋_GB2312" w:eastAsia="仿宋_GB2312" w:cs="仿宋_GB2312"/>
          <w:kern w:val="0"/>
          <w:sz w:val="32"/>
          <w:szCs w:val="32"/>
          <w:lang w:val="zh-CN"/>
        </w:rPr>
        <w:t>万元，增长</w:t>
      </w:r>
      <w:r>
        <w:rPr>
          <w:rFonts w:hint="eastAsia" w:ascii="仿宋_GB2312" w:hAnsi="仿宋_GB2312" w:eastAsia="仿宋_GB2312" w:cs="仿宋_GB2312"/>
          <w:kern w:val="0"/>
          <w:sz w:val="32"/>
          <w:szCs w:val="32"/>
        </w:rPr>
        <w:t>9.10</w:t>
      </w:r>
      <w:r>
        <w:rPr>
          <w:rFonts w:hint="eastAsia" w:ascii="仿宋_GB2312" w:hAnsi="仿宋_GB2312" w:eastAsia="仿宋_GB2312" w:cs="仿宋_GB2312"/>
          <w:kern w:val="0"/>
          <w:sz w:val="32"/>
          <w:szCs w:val="32"/>
          <w:lang w:val="zh-CN"/>
        </w:rPr>
        <w:t>%。主要原因是</w:t>
      </w:r>
      <w:r>
        <w:rPr>
          <w:rFonts w:hint="eastAsia" w:ascii="仿宋_GB2312" w:hAnsi="仿宋_GB2312" w:eastAsia="仿宋_GB2312" w:cs="仿宋_GB2312"/>
          <w:sz w:val="32"/>
        </w:rPr>
        <w:t>人员增加，人员工资支出增长</w:t>
      </w:r>
      <w:r>
        <w:rPr>
          <w:rFonts w:hint="eastAsia" w:ascii="仿宋_GB2312" w:hAnsi="仿宋_GB2312" w:eastAsia="仿宋_GB2312" w:cs="仿宋_GB2312"/>
          <w:kern w:val="0"/>
          <w:sz w:val="32"/>
          <w:szCs w:val="32"/>
          <w:lang w:val="zh-CN"/>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五、一般公共预算财政拨款支出决算情况说明</w:t>
      </w:r>
    </w:p>
    <w:p>
      <w:pPr>
        <w:autoSpaceDE w:val="0"/>
        <w:autoSpaceDN w:val="0"/>
        <w:adjustRightInd w:val="0"/>
        <w:ind w:firstLine="643" w:firstLineChars="200"/>
        <w:jc w:val="left"/>
        <w:rPr>
          <w:rFonts w:hint="eastAsia" w:ascii="楷体" w:hAnsi="楷体" w:eastAsia="楷体" w:cs="楷体"/>
          <w:b/>
          <w:bCs/>
          <w:kern w:val="0"/>
          <w:sz w:val="32"/>
          <w:szCs w:val="32"/>
          <w:lang w:val="zh-CN"/>
        </w:rPr>
      </w:pPr>
      <w:r>
        <w:rPr>
          <w:rFonts w:hint="eastAsia" w:ascii="楷体" w:hAnsi="楷体" w:eastAsia="楷体" w:cs="楷体"/>
          <w:b/>
          <w:bCs/>
          <w:kern w:val="0"/>
          <w:sz w:val="32"/>
          <w:szCs w:val="32"/>
          <w:lang w:val="zh-CN"/>
        </w:rPr>
        <w:t>（一）总体情况</w:t>
      </w:r>
    </w:p>
    <w:p>
      <w:pPr>
        <w:autoSpaceDE w:val="0"/>
        <w:autoSpaceDN w:val="0"/>
        <w:adjustRightInd w:val="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年度一般公共预算财政拨款支出</w:t>
      </w:r>
      <w:r>
        <w:rPr>
          <w:rFonts w:hint="eastAsia" w:ascii="仿宋_GB2312" w:hAnsi="仿宋_GB2312" w:eastAsia="仿宋_GB2312" w:cs="仿宋_GB2312"/>
          <w:kern w:val="0"/>
          <w:sz w:val="32"/>
          <w:szCs w:val="32"/>
        </w:rPr>
        <w:t>328.12</w:t>
      </w:r>
      <w:r>
        <w:rPr>
          <w:rFonts w:hint="eastAsia" w:ascii="仿宋_GB2312" w:hAnsi="仿宋_GB2312" w:eastAsia="仿宋_GB2312" w:cs="仿宋_GB2312"/>
          <w:kern w:val="0"/>
          <w:sz w:val="32"/>
          <w:szCs w:val="32"/>
          <w:lang w:val="zh-CN"/>
        </w:rPr>
        <w:t>万元，占本年支出合计的</w:t>
      </w:r>
      <w:r>
        <w:rPr>
          <w:rFonts w:hint="eastAsia"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lang w:val="zh-CN"/>
        </w:rPr>
        <w:t>%。与上年度相比，一般公共预算财政拨款支出增加</w:t>
      </w:r>
      <w:r>
        <w:rPr>
          <w:rFonts w:hint="eastAsia" w:ascii="仿宋_GB2312" w:hAnsi="仿宋_GB2312" w:eastAsia="仿宋_GB2312" w:cs="仿宋_GB2312"/>
          <w:kern w:val="0"/>
          <w:sz w:val="32"/>
          <w:szCs w:val="32"/>
        </w:rPr>
        <w:t>27.36</w:t>
      </w:r>
      <w:r>
        <w:rPr>
          <w:rFonts w:hint="eastAsia" w:ascii="仿宋_GB2312" w:hAnsi="仿宋_GB2312" w:eastAsia="仿宋_GB2312" w:cs="仿宋_GB2312"/>
          <w:kern w:val="0"/>
          <w:sz w:val="32"/>
          <w:szCs w:val="32"/>
          <w:lang w:val="zh-CN"/>
        </w:rPr>
        <w:t>万元，增长</w:t>
      </w:r>
      <w:r>
        <w:rPr>
          <w:rFonts w:hint="eastAsia" w:ascii="仿宋_GB2312" w:hAnsi="仿宋_GB2312" w:eastAsia="仿宋_GB2312" w:cs="仿宋_GB2312"/>
          <w:kern w:val="0"/>
          <w:sz w:val="32"/>
          <w:szCs w:val="32"/>
        </w:rPr>
        <w:t>9.10</w:t>
      </w:r>
      <w:r>
        <w:rPr>
          <w:rFonts w:hint="eastAsia" w:ascii="仿宋_GB2312" w:hAnsi="仿宋_GB2312" w:eastAsia="仿宋_GB2312" w:cs="仿宋_GB2312"/>
          <w:kern w:val="0"/>
          <w:sz w:val="32"/>
          <w:szCs w:val="32"/>
          <w:lang w:val="zh-CN"/>
        </w:rPr>
        <w:t>%。主要原因是</w:t>
      </w:r>
      <w:r>
        <w:rPr>
          <w:rFonts w:hint="eastAsia" w:ascii="仿宋_GB2312" w:hAnsi="仿宋_GB2312" w:eastAsia="仿宋_GB2312" w:cs="仿宋_GB2312"/>
          <w:sz w:val="32"/>
        </w:rPr>
        <w:t>人员增加，人员工资支出增长</w:t>
      </w:r>
      <w:r>
        <w:rPr>
          <w:rFonts w:hint="eastAsia" w:ascii="仿宋_GB2312" w:hAnsi="仿宋_GB2312" w:eastAsia="仿宋_GB2312" w:cs="仿宋_GB2312"/>
          <w:kern w:val="0"/>
          <w:sz w:val="32"/>
          <w:szCs w:val="32"/>
          <w:lang w:val="zh-CN"/>
        </w:rPr>
        <w:t>。</w:t>
      </w:r>
    </w:p>
    <w:p>
      <w:pPr>
        <w:autoSpaceDE w:val="0"/>
        <w:autoSpaceDN w:val="0"/>
        <w:adjustRightInd w:val="0"/>
        <w:ind w:firstLine="643" w:firstLineChars="200"/>
        <w:jc w:val="left"/>
        <w:rPr>
          <w:rFonts w:ascii="楷体" w:hAnsi="楷体" w:eastAsia="楷体" w:cs="宋体"/>
          <w:b/>
          <w:kern w:val="0"/>
          <w:sz w:val="32"/>
          <w:szCs w:val="32"/>
          <w:lang w:val="zh-CN"/>
        </w:rPr>
      </w:pPr>
      <w:r>
        <w:rPr>
          <w:rFonts w:hint="eastAsia" w:ascii="楷体" w:hAnsi="楷体" w:eastAsia="楷体" w:cs="宋体"/>
          <w:b/>
          <w:kern w:val="0"/>
          <w:sz w:val="32"/>
          <w:szCs w:val="32"/>
          <w:lang w:val="zh-CN"/>
        </w:rPr>
        <w:t>（二）结构情况</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2021年度一般公共预算财政拨款支出</w:t>
      </w:r>
      <w:r>
        <w:rPr>
          <w:rFonts w:hint="eastAsia" w:ascii="仿宋_GB2312" w:hAnsi="仿宋_GB2312" w:eastAsia="仿宋_GB2312" w:cs="仿宋_GB2312"/>
          <w:kern w:val="0"/>
          <w:sz w:val="32"/>
          <w:szCs w:val="32"/>
        </w:rPr>
        <w:t>328.12</w:t>
      </w:r>
      <w:r>
        <w:rPr>
          <w:rFonts w:hint="eastAsia" w:ascii="仿宋_GB2312" w:hAnsi="仿宋_GB2312" w:eastAsia="仿宋_GB2312" w:cs="仿宋_GB2312"/>
          <w:kern w:val="0"/>
          <w:sz w:val="32"/>
          <w:szCs w:val="32"/>
          <w:lang w:val="zh-CN"/>
        </w:rPr>
        <w:t>万元，主要用于以下方面：一般公共服务（类）支出</w:t>
      </w:r>
      <w:r>
        <w:rPr>
          <w:rFonts w:hint="eastAsia" w:ascii="仿宋_GB2312" w:hAnsi="仿宋_GB2312" w:eastAsia="仿宋_GB2312" w:cs="仿宋_GB2312"/>
          <w:kern w:val="0"/>
          <w:sz w:val="32"/>
          <w:szCs w:val="32"/>
        </w:rPr>
        <w:t>270.27</w:t>
      </w:r>
      <w:r>
        <w:rPr>
          <w:rFonts w:hint="eastAsia" w:ascii="仿宋_GB2312" w:hAnsi="仿宋_GB2312" w:eastAsia="仿宋_GB2312" w:cs="仿宋_GB2312"/>
          <w:kern w:val="0"/>
          <w:sz w:val="32"/>
          <w:szCs w:val="32"/>
          <w:lang w:val="zh-CN"/>
        </w:rPr>
        <w:t>万元，占</w:t>
      </w:r>
      <w:r>
        <w:rPr>
          <w:rFonts w:hint="eastAsia" w:ascii="仿宋_GB2312" w:hAnsi="仿宋_GB2312" w:eastAsia="仿宋_GB2312" w:cs="仿宋_GB2312"/>
          <w:kern w:val="0"/>
          <w:sz w:val="32"/>
          <w:szCs w:val="32"/>
        </w:rPr>
        <w:t>82.37</w:t>
      </w:r>
      <w:r>
        <w:rPr>
          <w:rFonts w:hint="eastAsia" w:ascii="仿宋_GB2312" w:hAnsi="仿宋_GB2312" w:eastAsia="仿宋_GB2312" w:cs="仿宋_GB2312"/>
          <w:kern w:val="0"/>
          <w:sz w:val="32"/>
          <w:szCs w:val="32"/>
          <w:lang w:val="zh-CN"/>
        </w:rPr>
        <w:t xml:space="preserve">%； </w:t>
      </w:r>
    </w:p>
    <w:p>
      <w:pPr>
        <w:autoSpaceDE w:val="0"/>
        <w:autoSpaceDN w:val="0"/>
        <w:adjustRightInd w:val="0"/>
        <w:ind w:firstLine="643" w:firstLineChars="200"/>
        <w:jc w:val="left"/>
        <w:rPr>
          <w:rFonts w:ascii="楷体" w:hAnsi="楷体" w:eastAsia="楷体" w:cs="宋体"/>
          <w:b/>
          <w:kern w:val="0"/>
          <w:sz w:val="32"/>
          <w:szCs w:val="32"/>
          <w:lang w:val="zh-CN"/>
        </w:rPr>
      </w:pPr>
      <w:r>
        <w:rPr>
          <w:rFonts w:hint="eastAsia" w:ascii="楷体" w:hAnsi="楷体" w:eastAsia="楷体" w:cs="宋体"/>
          <w:b/>
          <w:kern w:val="0"/>
          <w:sz w:val="32"/>
          <w:szCs w:val="32"/>
          <w:lang w:val="zh-CN"/>
        </w:rPr>
        <w:t>（三）具体情况</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2021年度一般公共预算财政拨款支出年初预算为</w:t>
      </w:r>
      <w:r>
        <w:rPr>
          <w:rFonts w:hint="eastAsia" w:ascii="仿宋_GB2312" w:hAnsi="仿宋_GB2312" w:eastAsia="仿宋_GB2312" w:cs="仿宋_GB2312"/>
          <w:kern w:val="0"/>
          <w:sz w:val="32"/>
          <w:szCs w:val="32"/>
        </w:rPr>
        <w:t>352.86</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328.12</w:t>
      </w:r>
      <w:r>
        <w:rPr>
          <w:rFonts w:hint="eastAsia" w:ascii="仿宋_GB2312" w:hAnsi="仿宋_GB2312" w:eastAsia="仿宋_GB2312" w:cs="仿宋_GB2312"/>
          <w:kern w:val="0"/>
          <w:sz w:val="32"/>
          <w:szCs w:val="32"/>
          <w:lang w:val="zh-CN"/>
        </w:rPr>
        <w:t>万元，完成年初预算的</w:t>
      </w:r>
      <w:r>
        <w:rPr>
          <w:rFonts w:hint="eastAsia" w:ascii="仿宋_GB2312" w:hAnsi="仿宋_GB2312" w:eastAsia="仿宋_GB2312" w:cs="仿宋_GB2312"/>
          <w:kern w:val="0"/>
          <w:sz w:val="32"/>
          <w:szCs w:val="32"/>
        </w:rPr>
        <w:t>92.99</w:t>
      </w:r>
      <w:r>
        <w:rPr>
          <w:rFonts w:hint="eastAsia" w:ascii="仿宋_GB2312" w:hAnsi="仿宋_GB2312" w:eastAsia="仿宋_GB2312" w:cs="仿宋_GB2312"/>
          <w:kern w:val="0"/>
          <w:sz w:val="32"/>
          <w:szCs w:val="32"/>
          <w:lang w:val="zh-CN"/>
        </w:rPr>
        <w:t>%。其中：</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lang w:val="zh-CN"/>
        </w:rPr>
        <w:t>1.一般公共服务支出（类）民主党派及工商联事务（款）其他民主党派及工商联事务支出（项）。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4.70</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4.70</w:t>
      </w:r>
      <w:r>
        <w:rPr>
          <w:rFonts w:hint="eastAsia" w:ascii="仿宋_GB2312" w:hAnsi="仿宋_GB2312" w:eastAsia="仿宋_GB2312" w:cs="仿宋_GB2312"/>
          <w:kern w:val="0"/>
          <w:sz w:val="32"/>
          <w:szCs w:val="32"/>
          <w:lang w:val="zh-CN"/>
        </w:rPr>
        <w:t>万元，完成年初预算的100%。</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2．一般公共服务支出（类）民主党派及工商联事务（款）行政运行（项）。</w:t>
      </w:r>
      <w:r>
        <w:rPr>
          <w:rFonts w:hint="eastAsia" w:ascii="仿宋_GB2312" w:hAnsi="仿宋_GB2312" w:eastAsia="仿宋_GB2312" w:cs="仿宋_GB2312"/>
          <w:sz w:val="32"/>
          <w:szCs w:val="32"/>
        </w:rPr>
        <w:t>年初预算为29.70万元，支出决算为29.70万元，完成年初预算的100%。</w:t>
      </w:r>
    </w:p>
    <w:p>
      <w:pPr>
        <w:widowControl/>
        <w:spacing w:line="590" w:lineRule="exact"/>
        <w:ind w:firstLine="643" w:firstLineChars="200"/>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3．一般公共服务支出（类）民主党派及工商联事务（款）参政议政（项）。</w:t>
      </w:r>
      <w:r>
        <w:rPr>
          <w:rFonts w:hint="eastAsia" w:ascii="仿宋_GB2312" w:hAnsi="仿宋_GB2312" w:eastAsia="仿宋_GB2312" w:cs="仿宋_GB2312"/>
          <w:sz w:val="32"/>
          <w:szCs w:val="32"/>
        </w:rPr>
        <w:t>年初预算为11.41万元，支出决算为11.41万元，完成年初预算的100%。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4</w:t>
      </w:r>
      <w:r>
        <w:rPr>
          <w:rFonts w:hint="eastAsia" w:ascii="仿宋_GB2312" w:hAnsi="仿宋_GB2312" w:eastAsia="仿宋_GB2312" w:cs="仿宋_GB2312"/>
          <w:b/>
          <w:kern w:val="0"/>
          <w:sz w:val="32"/>
          <w:szCs w:val="32"/>
          <w:lang w:val="zh-CN"/>
        </w:rPr>
        <w:t>.一般公共服务支出（类）统战事务（款）行政运行（项）。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178.99</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178.99</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5</w:t>
      </w:r>
      <w:r>
        <w:rPr>
          <w:rFonts w:hint="eastAsia" w:ascii="仿宋_GB2312" w:hAnsi="仿宋_GB2312" w:eastAsia="仿宋_GB2312" w:cs="仿宋_GB2312"/>
          <w:b/>
          <w:kern w:val="0"/>
          <w:sz w:val="32"/>
          <w:szCs w:val="32"/>
          <w:lang w:val="zh-CN"/>
        </w:rPr>
        <w:t>.一般公共服务支出（类）统战事务（款）宗教事务（项）。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24.06</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24.06</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6</w:t>
      </w:r>
      <w:r>
        <w:rPr>
          <w:rFonts w:hint="eastAsia" w:ascii="仿宋_GB2312" w:hAnsi="仿宋_GB2312" w:eastAsia="仿宋_GB2312" w:cs="仿宋_GB2312"/>
          <w:b/>
          <w:kern w:val="0"/>
          <w:sz w:val="32"/>
          <w:szCs w:val="32"/>
          <w:lang w:val="zh-CN"/>
        </w:rPr>
        <w:t>.一般公共服务支出（类）统战事务（款）华侨事务（项）。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19.39</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19.39</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7</w:t>
      </w:r>
      <w:r>
        <w:rPr>
          <w:rFonts w:hint="eastAsia" w:ascii="仿宋_GB2312" w:hAnsi="仿宋_GB2312" w:eastAsia="仿宋_GB2312" w:cs="仿宋_GB2312"/>
          <w:b/>
          <w:kern w:val="0"/>
          <w:sz w:val="32"/>
          <w:szCs w:val="32"/>
          <w:lang w:val="zh-CN"/>
        </w:rPr>
        <w:t>.一般公共服务支出（类）统战事务（款）其他统战事务支出（项）。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8</w:t>
      </w:r>
      <w:r>
        <w:rPr>
          <w:rFonts w:hint="eastAsia" w:ascii="仿宋_GB2312" w:hAnsi="仿宋_GB2312" w:eastAsia="仿宋_GB2312" w:cs="仿宋_GB2312"/>
          <w:b/>
          <w:kern w:val="0"/>
          <w:sz w:val="32"/>
          <w:szCs w:val="32"/>
          <w:lang w:val="zh-CN"/>
        </w:rPr>
        <w:t>. 社会保障和就业支出（类）行政事业单位养老支出（款）行政单位离退休（项）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10.02</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10.02</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9</w:t>
      </w:r>
      <w:r>
        <w:rPr>
          <w:rFonts w:hint="eastAsia" w:ascii="仿宋_GB2312" w:hAnsi="仿宋_GB2312" w:eastAsia="仿宋_GB2312" w:cs="仿宋_GB2312"/>
          <w:b/>
          <w:kern w:val="0"/>
          <w:sz w:val="32"/>
          <w:szCs w:val="32"/>
          <w:lang w:val="zh-CN"/>
        </w:rPr>
        <w:t>. 社会保障和就业支出（类）行政事业单位养老支出（款）机关事业单位基本养老保险缴费支出（项）。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18.98</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18.98</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10</w:t>
      </w:r>
      <w:r>
        <w:rPr>
          <w:rFonts w:hint="eastAsia" w:ascii="仿宋_GB2312" w:hAnsi="仿宋_GB2312" w:eastAsia="仿宋_GB2312" w:cs="仿宋_GB2312"/>
          <w:b/>
          <w:kern w:val="0"/>
          <w:sz w:val="32"/>
          <w:szCs w:val="32"/>
          <w:lang w:val="zh-CN"/>
        </w:rPr>
        <w:t>. 社会保障和就业支出（类）行政事业单位养老支出（款）机关事业单位职业年金缴费支出（项）。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3.97</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3.97</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5"/>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11</w:t>
      </w:r>
      <w:r>
        <w:rPr>
          <w:rFonts w:hint="eastAsia" w:ascii="仿宋_GB2312" w:hAnsi="仿宋_GB2312" w:eastAsia="仿宋_GB2312" w:cs="仿宋_GB2312"/>
          <w:b/>
          <w:kern w:val="0"/>
          <w:sz w:val="32"/>
          <w:szCs w:val="32"/>
          <w:lang w:val="zh-CN"/>
        </w:rPr>
        <w:t>. 卫生健康支出（类）行政事业单位医疗（款）行政单位医疗（项）。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8.87</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8.87</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12</w:t>
      </w:r>
      <w:r>
        <w:rPr>
          <w:rFonts w:hint="eastAsia" w:ascii="仿宋_GB2312" w:hAnsi="仿宋_GB2312" w:eastAsia="仿宋_GB2312" w:cs="仿宋_GB2312"/>
          <w:b/>
          <w:kern w:val="0"/>
          <w:sz w:val="32"/>
          <w:szCs w:val="32"/>
          <w:lang w:val="zh-CN"/>
        </w:rPr>
        <w:t>.农林水支出（类）农村综合改革（款）对村民委员会和村党支部的补助（项）。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b/>
          <w:kern w:val="0"/>
          <w:sz w:val="32"/>
          <w:szCs w:val="32"/>
        </w:rPr>
        <w:t>13</w:t>
      </w:r>
      <w:r>
        <w:rPr>
          <w:rFonts w:hint="eastAsia" w:ascii="仿宋_GB2312" w:hAnsi="仿宋_GB2312" w:eastAsia="仿宋_GB2312" w:cs="仿宋_GB2312"/>
          <w:b/>
          <w:kern w:val="0"/>
          <w:sz w:val="32"/>
          <w:szCs w:val="32"/>
          <w:lang w:val="zh-CN"/>
        </w:rPr>
        <w:t>. 住房保障支出（类）住房改革支出（款）住房公积金（项）。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13.91</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13.91</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六、一般公共预算财政拨款基本支出决算情况说明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2021年度一般公共预算财政拨款基本支出</w:t>
      </w:r>
      <w:r>
        <w:rPr>
          <w:rFonts w:hint="eastAsia" w:ascii="仿宋_GB2312" w:hAnsi="仿宋_GB2312" w:eastAsia="仿宋_GB2312" w:cs="仿宋_GB2312"/>
          <w:kern w:val="0"/>
          <w:sz w:val="32"/>
          <w:szCs w:val="32"/>
        </w:rPr>
        <w:t>328.12</w:t>
      </w:r>
      <w:r>
        <w:rPr>
          <w:rFonts w:hint="eastAsia" w:ascii="仿宋_GB2312" w:hAnsi="仿宋_GB2312" w:eastAsia="仿宋_GB2312" w:cs="仿宋_GB2312"/>
          <w:kern w:val="0"/>
          <w:sz w:val="32"/>
          <w:szCs w:val="32"/>
          <w:lang w:val="zh-CN"/>
        </w:rPr>
        <w:t>万元。</w:t>
      </w:r>
      <w:r>
        <w:rPr>
          <w:rFonts w:hint="eastAsia" w:ascii="仿宋_GB2312" w:hAnsi="仿宋_GB2312" w:eastAsia="仿宋_GB2312" w:cs="仿宋_GB2312"/>
          <w:sz w:val="32"/>
          <w:szCs w:val="32"/>
          <w:highlight w:val="none"/>
        </w:rPr>
        <w:t>与上年度相比，减少</w:t>
      </w:r>
      <w:r>
        <w:rPr>
          <w:rFonts w:hint="eastAsia" w:ascii="仿宋_GB2312" w:hAnsi="仿宋_GB2312" w:eastAsia="仿宋_GB2312" w:cs="仿宋_GB2312"/>
          <w:sz w:val="32"/>
          <w:szCs w:val="32"/>
          <w:highlight w:val="none"/>
          <w:lang w:val="en-US" w:eastAsia="zh-CN"/>
        </w:rPr>
        <w:t>19.89</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6.66</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eastAsia="zh-CN"/>
        </w:rPr>
        <w:t>当年人员经费较上年支出减少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lang w:val="zh-CN"/>
        </w:rPr>
        <w:t>其中：人员经费</w:t>
      </w:r>
      <w:r>
        <w:rPr>
          <w:rFonts w:hint="eastAsia" w:ascii="仿宋_GB2312" w:hAnsi="仿宋_GB2312" w:eastAsia="仿宋_GB2312" w:cs="仿宋_GB2312"/>
          <w:kern w:val="0"/>
          <w:sz w:val="32"/>
          <w:szCs w:val="32"/>
        </w:rPr>
        <w:t>192.55</w:t>
      </w:r>
      <w:r>
        <w:rPr>
          <w:rFonts w:hint="eastAsia" w:ascii="仿宋_GB2312" w:hAnsi="仿宋_GB2312" w:eastAsia="仿宋_GB2312" w:cs="仿宋_GB2312"/>
          <w:kern w:val="0"/>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公用经费</w:t>
      </w:r>
      <w:r>
        <w:rPr>
          <w:rFonts w:hint="eastAsia" w:ascii="仿宋_GB2312" w:hAnsi="仿宋_GB2312" w:eastAsia="仿宋_GB2312" w:cs="仿宋_GB2312"/>
          <w:kern w:val="0"/>
          <w:sz w:val="32"/>
          <w:szCs w:val="32"/>
        </w:rPr>
        <w:t>135.56</w:t>
      </w:r>
      <w:r>
        <w:rPr>
          <w:rFonts w:hint="eastAsia" w:ascii="仿宋_GB2312" w:hAnsi="仿宋_GB2312" w:eastAsia="仿宋_GB2312" w:cs="仿宋_GB2312"/>
          <w:kern w:val="0"/>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七、一般公共预算财政拨款</w:t>
      </w:r>
      <w:r>
        <w:rPr>
          <w:rFonts w:ascii="黑体" w:hAnsi="黑体" w:eastAsia="黑体" w:cs="宋体"/>
          <w:kern w:val="0"/>
          <w:sz w:val="32"/>
          <w:szCs w:val="32"/>
          <w:lang w:val="zh-CN"/>
        </w:rPr>
        <w:t>“</w:t>
      </w:r>
      <w:r>
        <w:rPr>
          <w:rFonts w:hint="eastAsia" w:ascii="黑体" w:hAnsi="黑体" w:eastAsia="黑体" w:cs="宋体"/>
          <w:kern w:val="0"/>
          <w:sz w:val="32"/>
          <w:szCs w:val="32"/>
          <w:lang w:val="zh-CN"/>
        </w:rPr>
        <w:t>三公</w:t>
      </w:r>
      <w:r>
        <w:rPr>
          <w:rFonts w:ascii="黑体" w:hAnsi="黑体" w:eastAsia="黑体" w:cs="宋体"/>
          <w:kern w:val="0"/>
          <w:sz w:val="32"/>
          <w:szCs w:val="32"/>
          <w:lang w:val="zh-CN"/>
        </w:rPr>
        <w:t>”</w:t>
      </w:r>
      <w:r>
        <w:rPr>
          <w:rFonts w:hint="eastAsia" w:ascii="黑体" w:hAnsi="黑体" w:eastAsia="黑体" w:cs="宋体"/>
          <w:kern w:val="0"/>
          <w:sz w:val="32"/>
          <w:szCs w:val="32"/>
          <w:lang w:val="zh-CN"/>
        </w:rPr>
        <w:t>经费支出决算情况说明</w:t>
      </w:r>
    </w:p>
    <w:p>
      <w:pPr>
        <w:autoSpaceDE w:val="0"/>
        <w:autoSpaceDN w:val="0"/>
        <w:adjustRightInd w:val="0"/>
        <w:ind w:firstLine="643" w:firstLineChars="200"/>
        <w:jc w:val="left"/>
        <w:rPr>
          <w:rFonts w:ascii="仿宋" w:hAnsi="仿宋" w:eastAsia="仿宋" w:cs="宋体"/>
          <w:kern w:val="0"/>
          <w:sz w:val="32"/>
          <w:szCs w:val="32"/>
          <w:lang w:val="zh-CN"/>
        </w:rPr>
      </w:pPr>
      <w:r>
        <w:rPr>
          <w:rFonts w:hint="eastAsia" w:ascii="楷体" w:hAnsi="楷体" w:eastAsia="楷体" w:cs="宋体"/>
          <w:b/>
          <w:kern w:val="0"/>
          <w:sz w:val="32"/>
          <w:szCs w:val="32"/>
          <w:lang w:val="zh-CN"/>
        </w:rPr>
        <w:t>（一）</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三公</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经费财政拨款支出决算总体情况说明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2021年度“三公”经费财政拨款支出预算为</w:t>
      </w:r>
      <w:r>
        <w:rPr>
          <w:rFonts w:hint="eastAsia" w:ascii="仿宋_GB2312" w:hAnsi="仿宋_GB2312" w:eastAsia="仿宋_GB2312" w:cs="仿宋_GB2312"/>
          <w:kern w:val="0"/>
          <w:sz w:val="32"/>
          <w:szCs w:val="32"/>
        </w:rPr>
        <w:t>4.99</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1.49</w:t>
      </w:r>
      <w:r>
        <w:rPr>
          <w:rFonts w:hint="eastAsia" w:ascii="仿宋_GB2312" w:hAnsi="仿宋_GB2312" w:eastAsia="仿宋_GB2312" w:cs="仿宋_GB2312"/>
          <w:kern w:val="0"/>
          <w:sz w:val="32"/>
          <w:szCs w:val="32"/>
          <w:lang w:val="zh-CN"/>
        </w:rPr>
        <w:t>万元，完成预算的</w:t>
      </w:r>
      <w:r>
        <w:rPr>
          <w:rFonts w:hint="eastAsia" w:ascii="仿宋_GB2312" w:hAnsi="仿宋_GB2312" w:eastAsia="仿宋_GB2312" w:cs="仿宋_GB2312"/>
          <w:kern w:val="0"/>
          <w:sz w:val="32"/>
          <w:szCs w:val="32"/>
        </w:rPr>
        <w:t>29.86</w:t>
      </w:r>
      <w:r>
        <w:rPr>
          <w:rFonts w:hint="eastAsia" w:ascii="仿宋_GB2312" w:hAnsi="仿宋_GB2312" w:eastAsia="仿宋_GB2312" w:cs="仿宋_GB2312"/>
          <w:kern w:val="0"/>
          <w:sz w:val="32"/>
          <w:szCs w:val="32"/>
          <w:lang w:val="zh-CN"/>
        </w:rPr>
        <w:t>%。2021年度“三公”经费支出决算数与预算数存在差异的主要原因是当年没有公务用车运行费支出。</w:t>
      </w:r>
    </w:p>
    <w:p>
      <w:pPr>
        <w:autoSpaceDE w:val="0"/>
        <w:autoSpaceDN w:val="0"/>
        <w:adjustRightInd w:val="0"/>
        <w:ind w:firstLine="643" w:firstLineChars="200"/>
        <w:jc w:val="left"/>
        <w:rPr>
          <w:rFonts w:ascii="仿宋" w:hAnsi="仿宋" w:eastAsia="仿宋" w:cs="宋体"/>
          <w:kern w:val="0"/>
          <w:sz w:val="32"/>
          <w:szCs w:val="32"/>
          <w:lang w:val="zh-CN"/>
        </w:rPr>
      </w:pPr>
      <w:r>
        <w:rPr>
          <w:rFonts w:hint="eastAsia" w:ascii="楷体" w:hAnsi="楷体" w:eastAsia="楷体" w:cs="宋体"/>
          <w:b/>
          <w:kern w:val="0"/>
          <w:sz w:val="32"/>
          <w:szCs w:val="32"/>
          <w:lang w:val="zh-CN"/>
        </w:rPr>
        <w:t>（二）</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三公</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经费财政拨款支出决算具体情况说明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2021年度“三公”经费财政拨款支出决算中，因公出国（境）费支出决算0万元，完成预算的0%，占0%；公务用车购置及运行费支出决算0万元，完成预算的0%，占0%；公务接待费支出决算</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zh-CN"/>
        </w:rPr>
        <w:t>万元，完成预算的</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zh-CN"/>
        </w:rPr>
        <w:t>%，占</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zh-CN"/>
        </w:rPr>
        <w:t>%。具体情况如下：</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1．因公出国（境）费年初预算为0万元，支出决算为0万元，完成年初预算的0%。全年因公出国（境）团组0个，累计0人次。</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2．公务用车购置费年初预算为</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zh-CN"/>
        </w:rPr>
        <w:t>万元，支出决算为0万元，完成年初预算的0%。</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公务用车运行费年初预算为</w:t>
      </w:r>
      <w:r>
        <w:rPr>
          <w:rFonts w:hint="eastAsia" w:ascii="仿宋_GB2312" w:hAnsi="仿宋_GB2312" w:eastAsia="仿宋_GB2312" w:cs="仿宋_GB2312"/>
          <w:kern w:val="0"/>
          <w:sz w:val="32"/>
          <w:szCs w:val="32"/>
        </w:rPr>
        <w:t>4万元，</w:t>
      </w:r>
      <w:r>
        <w:rPr>
          <w:rFonts w:hint="eastAsia" w:ascii="仿宋_GB2312" w:hAnsi="仿宋_GB2312" w:eastAsia="仿宋_GB2312" w:cs="仿宋_GB2312"/>
          <w:kern w:val="0"/>
          <w:sz w:val="32"/>
          <w:szCs w:val="32"/>
          <w:lang w:val="zh-CN"/>
        </w:rPr>
        <w:t>支出决算为0万元。完成年初预算的0%。</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3.公务接待费年初预算为</w:t>
      </w:r>
      <w:r>
        <w:rPr>
          <w:rFonts w:hint="eastAsia" w:ascii="仿宋_GB2312" w:hAnsi="仿宋_GB2312" w:eastAsia="仿宋_GB2312" w:cs="仿宋_GB2312"/>
          <w:kern w:val="0"/>
          <w:sz w:val="32"/>
          <w:szCs w:val="32"/>
        </w:rPr>
        <w:t>0.99</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1.49</w:t>
      </w:r>
      <w:r>
        <w:rPr>
          <w:rFonts w:hint="eastAsia" w:ascii="仿宋_GB2312" w:hAnsi="仿宋_GB2312" w:eastAsia="仿宋_GB2312" w:cs="仿宋_GB2312"/>
          <w:kern w:val="0"/>
          <w:sz w:val="32"/>
          <w:szCs w:val="32"/>
          <w:lang w:val="zh-CN"/>
        </w:rPr>
        <w:t>万元，完成年初预算的</w:t>
      </w:r>
      <w:r>
        <w:rPr>
          <w:rFonts w:hint="eastAsia"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lang w:val="zh-CN"/>
        </w:rPr>
        <w:t>%。决算数与年初预算数存在差异的主要原因是招待费支出超过年初预算。</w:t>
      </w: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人次（不包括陪同人员）。来访人员主要包括：</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正常的公务接待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共接待国内来访团组</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298</w:t>
      </w:r>
      <w:r>
        <w:rPr>
          <w:rFonts w:hint="eastAsia" w:ascii="仿宋_GB2312" w:hAnsi="仿宋_GB2312" w:eastAsia="仿宋_GB2312" w:cs="仿宋_GB2312"/>
          <w:sz w:val="32"/>
          <w:szCs w:val="32"/>
        </w:rPr>
        <w:t>人次（不包括陪同人员）。</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八、政府性基金预算财政拨款支出决算情况说明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kern w:val="0"/>
          <w:sz w:val="32"/>
          <w:szCs w:val="32"/>
          <w:lang w:val="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CN"/>
        </w:rPr>
        <w:t>中共义马市委统一战线工作部门没有政府性基金收入，也没有使用政府性基金安排的支出。</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2021年度机关运行经费年初预算为</w:t>
      </w:r>
      <w:r>
        <w:rPr>
          <w:rFonts w:hint="eastAsia" w:ascii="仿宋_GB2312" w:hAnsi="仿宋_GB2312" w:eastAsia="仿宋_GB2312" w:cs="仿宋_GB2312"/>
          <w:kern w:val="0"/>
          <w:sz w:val="32"/>
          <w:szCs w:val="32"/>
        </w:rPr>
        <w:t>135.56</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135.56</w:t>
      </w:r>
      <w:r>
        <w:rPr>
          <w:rFonts w:hint="eastAsia" w:ascii="仿宋_GB2312" w:hAnsi="仿宋_GB2312" w:eastAsia="仿宋_GB2312" w:cs="仿宋_GB2312"/>
          <w:kern w:val="0"/>
          <w:sz w:val="32"/>
          <w:szCs w:val="32"/>
          <w:lang w:val="zh-CN"/>
        </w:rPr>
        <w:t>万元，完成年初预算的100%。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度机关运行经费支出</w:t>
      </w:r>
      <w:r>
        <w:rPr>
          <w:rFonts w:hint="eastAsia" w:ascii="仿宋_GB2312" w:hAnsi="仿宋_GB2312" w:eastAsia="仿宋_GB2312" w:cs="仿宋_GB2312"/>
          <w:kern w:val="0"/>
          <w:sz w:val="32"/>
          <w:szCs w:val="32"/>
        </w:rPr>
        <w:t>135.56</w:t>
      </w:r>
      <w:r>
        <w:rPr>
          <w:rFonts w:hint="eastAsia" w:ascii="仿宋_GB2312" w:hAnsi="仿宋_GB2312" w:eastAsia="仿宋_GB2312" w:cs="仿宋_GB2312"/>
          <w:sz w:val="32"/>
          <w:szCs w:val="32"/>
          <w:highlight w:val="none"/>
        </w:rPr>
        <w:t>万元，较上年度增加</w:t>
      </w:r>
      <w:r>
        <w:rPr>
          <w:rFonts w:hint="eastAsia" w:ascii="仿宋_GB2312" w:hAnsi="仿宋_GB2312" w:eastAsia="仿宋_GB2312" w:cs="仿宋_GB2312"/>
          <w:sz w:val="32"/>
          <w:szCs w:val="32"/>
          <w:highlight w:val="none"/>
          <w:lang w:val="en-US" w:eastAsia="zh-CN"/>
        </w:rPr>
        <w:t>11.66</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10.69</w:t>
      </w:r>
      <w:r>
        <w:rPr>
          <w:rFonts w:hint="eastAsia" w:ascii="仿宋_GB2312" w:hAnsi="仿宋_GB2312" w:eastAsia="仿宋_GB2312" w:cs="仿宋_GB2312"/>
          <w:sz w:val="32"/>
          <w:szCs w:val="32"/>
          <w:highlight w:val="none"/>
        </w:rPr>
        <w:t>%。增加的主要原因是：</w:t>
      </w:r>
      <w:r>
        <w:rPr>
          <w:rFonts w:hint="eastAsia" w:ascii="仿宋_GB2312" w:hAnsi="仿宋_GB2312" w:eastAsia="仿宋_GB2312" w:cs="仿宋_GB2312"/>
          <w:sz w:val="32"/>
          <w:szCs w:val="32"/>
          <w:highlight w:val="none"/>
          <w:lang w:eastAsia="zh-CN"/>
        </w:rPr>
        <w:t>工资福利支出较上年有所增加</w:t>
      </w:r>
      <w:r>
        <w:rPr>
          <w:rFonts w:hint="eastAsia" w:ascii="仿宋_GB2312" w:hAnsi="仿宋_GB2312" w:eastAsia="仿宋_GB2312" w:cs="仿宋_GB2312"/>
          <w:sz w:val="32"/>
          <w:szCs w:val="32"/>
          <w:highlight w:val="none"/>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十、政府采购支出情况说明</w:t>
      </w:r>
    </w:p>
    <w:p>
      <w:pPr>
        <w:pStyle w:val="2"/>
        <w:kinsoku w:val="0"/>
        <w:overflowPunct w:val="0"/>
        <w:spacing w:line="338" w:lineRule="auto"/>
        <w:ind w:left="120" w:right="117" w:firstLine="640"/>
        <w:rPr>
          <w:rFonts w:hint="eastAsia" w:ascii="仿宋_GB2312" w:hAnsi="仿宋_GB2312" w:eastAsia="仿宋_GB2312" w:cs="仿宋_GB2312"/>
          <w:kern w:val="0"/>
          <w:szCs w:val="32"/>
          <w:lang w:val="zh-CN"/>
        </w:rPr>
      </w:pPr>
      <w:r>
        <w:rPr>
          <w:rFonts w:hint="eastAsia" w:ascii="仿宋_GB2312" w:hAnsi="仿宋_GB2312" w:eastAsia="仿宋_GB2312" w:cs="仿宋_GB2312"/>
        </w:rPr>
        <w:t xml:space="preserve">2021 年度政府采购支出总额 0 </w:t>
      </w:r>
      <w:r>
        <w:rPr>
          <w:rFonts w:hint="eastAsia" w:ascii="仿宋_GB2312" w:hAnsi="仿宋_GB2312" w:eastAsia="仿宋_GB2312" w:cs="仿宋_GB2312"/>
          <w:spacing w:val="-7"/>
        </w:rPr>
        <w:t>万元，其中：政府采购货物支出</w:t>
      </w:r>
      <w:r>
        <w:rPr>
          <w:rFonts w:hint="eastAsia" w:ascii="仿宋_GB2312" w:hAnsi="仿宋_GB2312" w:eastAsia="仿宋_GB2312" w:cs="仿宋_GB2312"/>
          <w:spacing w:val="-86"/>
        </w:rPr>
        <w:t xml:space="preserve"> </w:t>
      </w:r>
      <w:r>
        <w:rPr>
          <w:rFonts w:hint="eastAsia" w:ascii="仿宋_GB2312" w:hAnsi="仿宋_GB2312" w:eastAsia="仿宋_GB2312" w:cs="仿宋_GB2312"/>
        </w:rPr>
        <w:t>0</w:t>
      </w:r>
      <w:r>
        <w:rPr>
          <w:rFonts w:hint="eastAsia" w:ascii="仿宋_GB2312" w:hAnsi="仿宋_GB2312" w:eastAsia="仿宋_GB2312" w:cs="仿宋_GB2312"/>
          <w:spacing w:val="-85"/>
        </w:rPr>
        <w:t xml:space="preserve"> </w:t>
      </w:r>
      <w:r>
        <w:rPr>
          <w:rFonts w:hint="eastAsia" w:ascii="仿宋_GB2312" w:hAnsi="仿宋_GB2312" w:eastAsia="仿宋_GB2312" w:cs="仿宋_GB2312"/>
        </w:rPr>
        <w:t>万元、政府采购工程支出 0</w:t>
      </w:r>
      <w:r>
        <w:rPr>
          <w:rFonts w:hint="eastAsia" w:ascii="仿宋_GB2312" w:hAnsi="仿宋_GB2312" w:eastAsia="仿宋_GB2312" w:cs="仿宋_GB2312"/>
          <w:spacing w:val="-86"/>
        </w:rPr>
        <w:t xml:space="preserve"> </w:t>
      </w:r>
      <w:r>
        <w:rPr>
          <w:rFonts w:hint="eastAsia" w:ascii="仿宋_GB2312" w:hAnsi="仿宋_GB2312" w:eastAsia="仿宋_GB2312" w:cs="仿宋_GB2312"/>
        </w:rPr>
        <w:t>万元、政府采购服务支出</w:t>
      </w:r>
      <w:r>
        <w:rPr>
          <w:rFonts w:hint="eastAsia" w:ascii="仿宋_GB2312" w:hAnsi="仿宋_GB2312" w:eastAsia="仿宋_GB2312" w:cs="仿宋_GB2312"/>
          <w:spacing w:val="-85"/>
        </w:rPr>
        <w:t xml:space="preserve"> </w:t>
      </w:r>
      <w:r>
        <w:rPr>
          <w:rFonts w:hint="eastAsia" w:ascii="仿宋_GB2312" w:hAnsi="仿宋_GB2312" w:eastAsia="仿宋_GB2312" w:cs="仿宋_GB2312"/>
        </w:rPr>
        <w:t>0</w:t>
      </w:r>
      <w:r>
        <w:rPr>
          <w:rFonts w:hint="eastAsia" w:ascii="仿宋_GB2312" w:hAnsi="仿宋_GB2312" w:eastAsia="仿宋_GB2312" w:cs="仿宋_GB2312"/>
          <w:spacing w:val="-86"/>
        </w:rPr>
        <w:t xml:space="preserve"> </w:t>
      </w:r>
      <w:r>
        <w:rPr>
          <w:rFonts w:hint="eastAsia" w:ascii="仿宋_GB2312" w:hAnsi="仿宋_GB2312" w:eastAsia="仿宋_GB2312" w:cs="仿宋_GB2312"/>
        </w:rPr>
        <w:t xml:space="preserve">万元。授予中小企业合同金额 0 万元，占政府采购支出总额的 </w:t>
      </w:r>
      <w:r>
        <w:rPr>
          <w:rFonts w:hint="eastAsia" w:ascii="仿宋_GB2312" w:hAnsi="仿宋_GB2312" w:eastAsia="仿宋_GB2312" w:cs="仿宋_GB2312"/>
          <w:spacing w:val="3"/>
        </w:rPr>
        <w:t xml:space="preserve">0，其中：授予小微企业合同金额 </w:t>
      </w:r>
      <w:r>
        <w:rPr>
          <w:rFonts w:hint="eastAsia" w:ascii="仿宋_GB2312" w:hAnsi="仿宋_GB2312" w:eastAsia="仿宋_GB2312" w:cs="仿宋_GB2312"/>
        </w:rPr>
        <w:t>0 万元，占政府采购支出总额的</w:t>
      </w:r>
      <w:r>
        <w:rPr>
          <w:rFonts w:hint="eastAsia" w:ascii="仿宋_GB2312" w:hAnsi="仿宋_GB2312" w:eastAsia="仿宋_GB2312" w:cs="仿宋_GB2312"/>
          <w:spacing w:val="-72"/>
        </w:rPr>
        <w:t xml:space="preserve"> </w:t>
      </w:r>
      <w:r>
        <w:rPr>
          <w:rFonts w:hint="eastAsia" w:ascii="仿宋_GB2312" w:hAnsi="仿宋_GB2312" w:eastAsia="仿宋_GB2312" w:cs="仿宋_GB2312"/>
        </w:rPr>
        <w:t>100%。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十一、国有资产占用情况说明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2021年期末，我部门共有车辆</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辆，其中：机要通信用车0辆、应急保障车0辆、执法执勤用车0辆、特种专业技术用车0辆、离退休干部用车0辆、其他用车</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辆；单位价值50万元以上通用设备0台（套），单位价值100万元以上专用设备0台（套）。</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十二、预算绩效情况说明</w:t>
      </w:r>
    </w:p>
    <w:p>
      <w:pPr>
        <w:widowControl/>
        <w:spacing w:line="590" w:lineRule="exact"/>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2"/>
          <w:sz w:val="32"/>
          <w:szCs w:val="32"/>
          <w:lang w:val="en-US" w:eastAsia="zh-CN" w:bidi="ar"/>
        </w:rPr>
        <w:t>2021年，我部门纳入预算绩效管理的支出总额为</w:t>
      </w:r>
      <w:r>
        <w:rPr>
          <w:rFonts w:hint="eastAsia" w:ascii="仿宋_GB2312" w:hAnsi="仿宋_GB2312" w:eastAsia="仿宋_GB2312" w:cs="仿宋_GB2312"/>
          <w:sz w:val="32"/>
        </w:rPr>
        <w:t>328.12</w:t>
      </w:r>
      <w:r>
        <w:rPr>
          <w:rFonts w:hint="eastAsia" w:ascii="仿宋_GB2312" w:hAnsi="仿宋_GB2312" w:eastAsia="仿宋_GB2312" w:cs="仿宋_GB2312"/>
          <w:kern w:val="2"/>
          <w:sz w:val="32"/>
          <w:szCs w:val="32"/>
          <w:lang w:val="en-US" w:eastAsia="zh-CN" w:bidi="ar"/>
        </w:rPr>
        <w:t>万元，其中人员经费支出</w:t>
      </w:r>
      <w:r>
        <w:rPr>
          <w:rFonts w:hint="eastAsia" w:ascii="仿宋_GB2312" w:hAnsi="仿宋_GB2312" w:eastAsia="仿宋_GB2312" w:cs="仿宋_GB2312"/>
          <w:kern w:val="0"/>
          <w:sz w:val="32"/>
          <w:szCs w:val="32"/>
        </w:rPr>
        <w:t>192.55</w:t>
      </w:r>
      <w:r>
        <w:rPr>
          <w:rFonts w:hint="eastAsia" w:ascii="仿宋_GB2312" w:hAnsi="仿宋_GB2312" w:eastAsia="仿宋_GB2312" w:cs="仿宋_GB2312"/>
          <w:kern w:val="2"/>
          <w:sz w:val="32"/>
          <w:szCs w:val="32"/>
          <w:lang w:val="en-US" w:eastAsia="zh-CN" w:bidi="ar"/>
        </w:rPr>
        <w:t>万元，公用经费支出135.56万元；支出项目共0个，支出金额0万元。其中，进行项目绩效自评0个，自评金额0万元；纳入重点绩效评价（部门评价或财政评价）0个，评价金额0万元。</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我单位自评资金覆盖率达到100%，自评结果按时报送财政局并在门户网站上进行公开。</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根据财政预算管理要求，我单位202</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年组织对2021年度部门整体支出全面开展绩效自评。</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p>
    <w:p>
      <w:pPr>
        <w:autoSpaceDE w:val="0"/>
        <w:autoSpaceDN w:val="0"/>
        <w:adjustRightInd w:val="0"/>
        <w:jc w:val="left"/>
        <w:rPr>
          <w:rFonts w:ascii="宋体" w:cs="宋体"/>
          <w:kern w:val="0"/>
          <w:sz w:val="18"/>
          <w:szCs w:val="18"/>
          <w:lang w:val="zh-CN"/>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CBD6D"/>
    <w:multiLevelType w:val="singleLevel"/>
    <w:tmpl w:val="9CCCBD6D"/>
    <w:lvl w:ilvl="0" w:tentative="0">
      <w:start w:val="1"/>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71E77883"/>
    <w:multiLevelType w:val="multilevel"/>
    <w:tmpl w:val="71E77883"/>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YmFlNDlhN2UyOGEyMzVjNDEwY2YyM2YzNzY2MzQifQ=="/>
  </w:docVars>
  <w:rsids>
    <w:rsidRoot w:val="007077D7"/>
    <w:rsid w:val="00053CA5"/>
    <w:rsid w:val="003A70AF"/>
    <w:rsid w:val="003F04A0"/>
    <w:rsid w:val="00401F7A"/>
    <w:rsid w:val="00502EF8"/>
    <w:rsid w:val="00653507"/>
    <w:rsid w:val="007052DD"/>
    <w:rsid w:val="007077D7"/>
    <w:rsid w:val="0073527D"/>
    <w:rsid w:val="007C0DA1"/>
    <w:rsid w:val="00A236F8"/>
    <w:rsid w:val="00B21EF6"/>
    <w:rsid w:val="00B74A5B"/>
    <w:rsid w:val="00EC2952"/>
    <w:rsid w:val="04F805FA"/>
    <w:rsid w:val="058E3D1F"/>
    <w:rsid w:val="074F5564"/>
    <w:rsid w:val="07C004A9"/>
    <w:rsid w:val="0B5622B4"/>
    <w:rsid w:val="0BC55E7E"/>
    <w:rsid w:val="0C8E5856"/>
    <w:rsid w:val="0E8A6F0A"/>
    <w:rsid w:val="11944EB6"/>
    <w:rsid w:val="12C02265"/>
    <w:rsid w:val="1640136C"/>
    <w:rsid w:val="177607DB"/>
    <w:rsid w:val="186D7C87"/>
    <w:rsid w:val="1A614CE8"/>
    <w:rsid w:val="1FCF012D"/>
    <w:rsid w:val="24306FB9"/>
    <w:rsid w:val="248D5822"/>
    <w:rsid w:val="26ED3974"/>
    <w:rsid w:val="2A586504"/>
    <w:rsid w:val="2BAF7B59"/>
    <w:rsid w:val="2C170E86"/>
    <w:rsid w:val="2E5913DE"/>
    <w:rsid w:val="2EC976D1"/>
    <w:rsid w:val="2ED41AF4"/>
    <w:rsid w:val="36C330A4"/>
    <w:rsid w:val="375C773B"/>
    <w:rsid w:val="44AA5F94"/>
    <w:rsid w:val="46C2536A"/>
    <w:rsid w:val="476337AA"/>
    <w:rsid w:val="49850D81"/>
    <w:rsid w:val="4CC27294"/>
    <w:rsid w:val="4D0C182E"/>
    <w:rsid w:val="4EA330F5"/>
    <w:rsid w:val="50452187"/>
    <w:rsid w:val="54060966"/>
    <w:rsid w:val="544C7733"/>
    <w:rsid w:val="557E2B1B"/>
    <w:rsid w:val="5E653F23"/>
    <w:rsid w:val="5F677827"/>
    <w:rsid w:val="60202AC2"/>
    <w:rsid w:val="62C336D4"/>
    <w:rsid w:val="63B74DDC"/>
    <w:rsid w:val="64623C6A"/>
    <w:rsid w:val="648B2D06"/>
    <w:rsid w:val="663E2FB5"/>
    <w:rsid w:val="67455A87"/>
    <w:rsid w:val="69C3229F"/>
    <w:rsid w:val="6A3F7D1E"/>
    <w:rsid w:val="6AC84E7A"/>
    <w:rsid w:val="6C0E6790"/>
    <w:rsid w:val="6CB8474B"/>
    <w:rsid w:val="6E44533E"/>
    <w:rsid w:val="721757A2"/>
    <w:rsid w:val="74AB66DC"/>
    <w:rsid w:val="7A857131"/>
    <w:rsid w:val="7AA1568A"/>
    <w:rsid w:val="7D605873"/>
    <w:rsid w:val="7ED9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1"/>
    <w:rPr>
      <w:rFonts w:hint="eastAsia" w:ascii="仿宋" w:hAnsi="仿宋" w:eastAsia="仿宋"/>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51"/>
    <w:basedOn w:val="6"/>
    <w:qFormat/>
    <w:uiPriority w:val="0"/>
    <w:rPr>
      <w:rFonts w:hint="eastAsia" w:ascii="宋体" w:hAnsi="宋体" w:eastAsia="宋体" w:cs="宋体"/>
      <w:color w:val="000000"/>
      <w:sz w:val="24"/>
      <w:szCs w:val="24"/>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 w:type="character" w:customStyle="1" w:styleId="11">
    <w:name w:val="页眉 Char"/>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7895</Words>
  <Characters>9206</Characters>
  <Lines>75</Lines>
  <Paragraphs>21</Paragraphs>
  <TotalTime>2</TotalTime>
  <ScaleCrop>false</ScaleCrop>
  <LinksUpToDate>false</LinksUpToDate>
  <CharactersWithSpaces>9553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2022-09-23T01:35:00Z</dcterms:created>
  <dc:creator>Administrator</dc:creator>
  <cp:lastModifiedBy>Administrator</cp:lastModifiedBy>
  <cp:lastPrinted>2022-09-08T08:36:00Z</cp:lastPrinted>
  <dcterms:modified xsi:type="dcterms:W3CDTF">2023-09-28T09:04:05Z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11B155399DA0468FAE0B3366B8278541</vt:lpwstr>
  </property>
</Properties>
</file>