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2021年度</w:t>
      </w:r>
    </w:p>
    <w:p>
      <w:pPr>
        <w:jc w:val="center"/>
        <w:rPr>
          <w:rFonts w:ascii="仿宋" w:hAnsi="仿宋" w:eastAsia="仿宋" w:cs="黑体"/>
          <w:b/>
          <w:sz w:val="52"/>
          <w:szCs w:val="52"/>
        </w:rPr>
      </w:pPr>
      <w:r>
        <w:rPr>
          <w:rFonts w:hint="eastAsia" w:ascii="黑体" w:hAnsi="黑体" w:eastAsia="黑体" w:cs="黑体"/>
          <w:sz w:val="52"/>
          <w:szCs w:val="52"/>
        </w:rPr>
        <w:t>义马市国土资源局新区国土资源所</w:t>
      </w:r>
    </w:p>
    <w:p>
      <w:pPr>
        <w:jc w:val="center"/>
        <w:rPr>
          <w:rFonts w:ascii="黑体" w:hAnsi="黑体" w:eastAsia="黑体" w:cs="黑体"/>
          <w:sz w:val="52"/>
          <w:szCs w:val="52"/>
        </w:rPr>
      </w:pPr>
      <w:r>
        <w:rPr>
          <w:rFonts w:hint="eastAsia" w:ascii="黑体" w:hAnsi="黑体" w:eastAsia="黑体" w:cs="黑体"/>
          <w:sz w:val="52"/>
          <w:szCs w:val="52"/>
        </w:rPr>
        <w:t>本级部门决算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义马市国土资源局新区国土资源所概况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lang w:val="en-US" w:eastAsia="zh-CN"/>
        </w:rPr>
        <w:t>八</w:t>
      </w:r>
      <w:r>
        <w:rPr>
          <w:rFonts w:hint="eastAsia" w:ascii="宋体" w:hAnsi="宋体" w:cs="宋体"/>
          <w:sz w:val="32"/>
          <w:szCs w:val="32"/>
        </w:rPr>
        <w:t>、政府性基金预算财政拨款支出决算情况说明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lang w:val="en-US" w:eastAsia="zh-CN"/>
        </w:rPr>
        <w:t>九</w:t>
      </w:r>
      <w:r>
        <w:rPr>
          <w:rFonts w:hint="eastAsia" w:ascii="宋体" w:hAnsi="宋体" w:cs="宋体"/>
          <w:sz w:val="32"/>
          <w:szCs w:val="32"/>
        </w:rPr>
        <w:t>、机关运行经费支出情况说明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w:t>
      </w:r>
      <w:r>
        <w:rPr>
          <w:rFonts w:hint="eastAsia" w:ascii="宋体" w:hAnsi="宋体" w:cs="宋体"/>
          <w:sz w:val="32"/>
          <w:szCs w:val="32"/>
          <w:lang w:val="en-US" w:eastAsia="zh-CN"/>
        </w:rPr>
        <w:t>一</w:t>
      </w:r>
      <w:r>
        <w:rPr>
          <w:rFonts w:hint="eastAsia" w:ascii="宋体" w:hAnsi="宋体" w:cs="宋体"/>
          <w:sz w:val="32"/>
          <w:szCs w:val="32"/>
        </w:rPr>
        <w:t>、国有资产占用情况说明</w:t>
      </w:r>
    </w:p>
    <w:p>
      <w:pPr>
        <w:ind w:firstLine="640" w:firstLineChars="200"/>
        <w:jc w:val="left"/>
        <w:rPr>
          <w:rFonts w:ascii="宋体" w:hAnsi="宋体" w:cs="宋体"/>
          <w:sz w:val="32"/>
          <w:szCs w:val="32"/>
        </w:rPr>
      </w:pPr>
      <w:r>
        <w:rPr>
          <w:rFonts w:hint="eastAsia" w:ascii="宋体" w:hAnsi="宋体" w:cs="宋体"/>
          <w:sz w:val="32"/>
          <w:szCs w:val="32"/>
          <w:lang w:val="en-US" w:eastAsia="zh-CN"/>
        </w:rPr>
        <w:t>十二</w:t>
      </w:r>
      <w:r>
        <w:rPr>
          <w:rFonts w:hint="eastAsia" w:ascii="宋体" w:hAnsi="宋体" w:cs="宋体"/>
          <w:sz w:val="32"/>
          <w:szCs w:val="32"/>
        </w:rPr>
        <w:t>、预算绩效情况说明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  义马市国土资源局</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新区国土资源所概况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（一）宣传、贯彻、执行国家和省有关自然资源管理和城乡规划方面的法律法规、方针和政策；以及三门峡市、义马市依据国家法律法规作出的有关自然资源和城乡规划的决定和措施。</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（二）认真落实党风廉政建设责任制要求，遵守党章党纪、制度法规等各项标准，严格落实党风廉政建设责任制各项规定。</w:t>
      </w:r>
      <w:r>
        <w:rPr>
          <w:rFonts w:hint="eastAsia" w:ascii="仿宋_GB2312" w:hAnsi="仿宋" w:eastAsia="仿宋_GB2312"/>
          <w:sz w:val="32"/>
          <w:szCs w:val="32"/>
        </w:rPr>
        <w:t>做好“一岗双责”，</w:t>
      </w:r>
      <w:r>
        <w:rPr>
          <w:rFonts w:hint="eastAsia" w:ascii="仿宋_GB2312" w:hAnsi="仿宋" w:eastAsia="仿宋_GB2312" w:cs="仿宋_GB2312"/>
          <w:sz w:val="32"/>
          <w:szCs w:val="32"/>
        </w:rPr>
        <w:t>把党风廉政建设与自然资源管理工作摆在同等重要位置，纳入议事日程，切实把党风廉政建设的责任扛在肩上，抓在手上，自觉落实“两个责任”，真正做到守土有责、守土负责、守土尽责。</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负责监督自然资源合理利用和保护。定期开展自然资源执法巡查，及时发现、制止辖区内自然资源违法行为，负责查处自然资源开发利用、测绘违法案件，如遇复杂案件会同局监察大队共同办理。负责卫片图斑的核实及查处工作。</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（四）配合上级主管部门组织实施最严格的耕地保护制度、落实国家耕地保护政策，配合上级主管部门组织实施耕地保护责任目标考核和永久基本农田特殊保护。</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（五）配合上级主管部门对辖区内城乡规划涉及建设工程的行政许可及许可范围的日常监督检查。</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（六）配合上级主管部门、属地街道办事处做好地质灾害预防和治理。配合上级主管部门开展地质灾害隐患的普查、详查、排查。</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（七）配合上级主管部门完成国土空间综合整治、自然资源年度变更调查工作、土地整理复垦、矿山地质环境恢复治理、山体保护、矿山企业矿产资源储量核查及超层越界查处等工作。</w:t>
      </w:r>
    </w:p>
    <w:p>
      <w:pPr>
        <w:pStyle w:val="11"/>
        <w:spacing w:line="64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（八）配合街道办事处开展土地征收、防火宣传教育等工作。</w:t>
      </w:r>
    </w:p>
    <w:p>
      <w:pPr>
        <w:pStyle w:val="11"/>
        <w:spacing w:line="64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（九）完成上级主管部门和街道办事处交办的其他工作。</w:t>
      </w:r>
    </w:p>
    <w:p>
      <w:pPr>
        <w:pStyle w:val="11"/>
        <w:spacing w:line="640" w:lineRule="exact"/>
        <w:ind w:left="160" w:leftChars="76"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（十）每月初向自然资源和规划局党组汇报工作开展情况并提供书面报告。</w:t>
      </w:r>
    </w:p>
    <w:p>
      <w:pPr>
        <w:spacing w:line="6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w:t>
      </w:r>
      <w:r>
        <w:rPr>
          <w:rFonts w:hint="eastAsia" w:ascii="仿宋_GB2312" w:hAnsi="仿宋" w:eastAsia="仿宋_GB2312"/>
          <w:sz w:val="32"/>
          <w:szCs w:val="32"/>
        </w:rPr>
        <w:t>乡所年度考核由所在地街道办事处出具考核意见。</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义马市国土资源局新区国土资源所内设机构0个，包括：无。</w:t>
      </w:r>
    </w:p>
    <w:p>
      <w:pPr>
        <w:widowControl/>
        <w:ind w:firstLine="640" w:firstLineChars="200"/>
        <w:jc w:val="left"/>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从决算单位构成看，义马市国土资源局新区国土资源所部门决算包括：本级决算。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2021年度，义马市国土资源局新区国土资源所本级决算。</w:t>
      </w:r>
    </w:p>
    <w:p>
      <w:pPr>
        <w:widowControl/>
        <w:ind w:firstLine="640" w:firstLineChars="200"/>
        <w:jc w:val="left"/>
        <w:rPr>
          <w:rFonts w:ascii="仿宋_GB2312" w:hAnsi="仿宋_GB2312" w:eastAsia="仿宋_GB2312" w:cs="仿宋_GB2312"/>
          <w:kern w:val="0"/>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kern w:val="0"/>
          <w:sz w:val="32"/>
          <w:szCs w:val="32"/>
        </w:rPr>
        <w:t>本决算为汇总决算，纳入本部门2021年度部门决算编制范围的单位共1个：义马市国土资源局新区国土资源所本级。</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tblLayout w:type="fixed"/>
        <w:tblCellMar>
          <w:top w:w="0" w:type="dxa"/>
          <w:left w:w="0" w:type="dxa"/>
          <w:bottom w:w="0" w:type="dxa"/>
          <w:right w:w="0" w:type="dxa"/>
        </w:tblCellMar>
      </w:tblPr>
      <w:tblGrid>
        <w:gridCol w:w="3559"/>
        <w:gridCol w:w="709"/>
        <w:gridCol w:w="394"/>
        <w:gridCol w:w="664"/>
        <w:gridCol w:w="1068"/>
        <w:gridCol w:w="3643"/>
        <w:gridCol w:w="272"/>
        <w:gridCol w:w="392"/>
        <w:gridCol w:w="283"/>
        <w:gridCol w:w="2460"/>
        <w:gridCol w:w="15"/>
      </w:tblGrid>
      <w:tr>
        <w:tblPrEx>
          <w:tblLayout w:type="fixed"/>
          <w:tblCellMar>
            <w:top w:w="0" w:type="dxa"/>
            <w:left w:w="0" w:type="dxa"/>
            <w:bottom w:w="0" w:type="dxa"/>
            <w:right w:w="0" w:type="dxa"/>
          </w:tblCellMar>
        </w:tblPrEx>
        <w:trPr>
          <w:gridAfter w:val="1"/>
          <w:wAfter w:w="15" w:type="dxa"/>
          <w:trHeight w:val="624" w:hRule="atLeast"/>
        </w:trPr>
        <w:tc>
          <w:tcPr>
            <w:tcW w:w="13444" w:type="dxa"/>
            <w:gridSpan w:val="10"/>
            <w:vMerge w:val="restart"/>
            <w:tcBorders>
              <w:top w:val="nil"/>
              <w:left w:val="nil"/>
              <w:bottom w:val="nil"/>
              <w:right w:val="single" w:color="80808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收入支出决算总表</w:t>
            </w:r>
          </w:p>
        </w:tc>
      </w:tr>
      <w:tr>
        <w:tblPrEx>
          <w:tblLayout w:type="fixed"/>
          <w:tblCellMar>
            <w:top w:w="0" w:type="dxa"/>
            <w:left w:w="0" w:type="dxa"/>
            <w:bottom w:w="0" w:type="dxa"/>
            <w:right w:w="0" w:type="dxa"/>
          </w:tblCellMar>
        </w:tblPrEx>
        <w:trPr>
          <w:gridAfter w:val="1"/>
          <w:wAfter w:w="15" w:type="dxa"/>
          <w:trHeight w:val="624" w:hRule="atLeast"/>
        </w:trPr>
        <w:tc>
          <w:tcPr>
            <w:tcW w:w="13444" w:type="dxa"/>
            <w:gridSpan w:val="10"/>
            <w:vMerge w:val="continue"/>
            <w:tcBorders>
              <w:top w:val="nil"/>
              <w:left w:val="nil"/>
              <w:bottom w:val="nil"/>
              <w:right w:val="single" w:color="808080" w:sz="4" w:space="0"/>
            </w:tcBorders>
            <w:shd w:val="clear" w:color="auto" w:fill="auto"/>
            <w:tcMar>
              <w:top w:w="15" w:type="dxa"/>
              <w:left w:w="15" w:type="dxa"/>
              <w:right w:w="15" w:type="dxa"/>
            </w:tcMar>
            <w:vAlign w:val="center"/>
          </w:tcPr>
          <w:p>
            <w:pPr>
              <w:jc w:val="center"/>
              <w:rPr>
                <w:rFonts w:ascii="黑体" w:hAnsi="宋体" w:eastAsia="黑体" w:cs="黑体"/>
                <w:color w:val="000000"/>
                <w:sz w:val="36"/>
                <w:szCs w:val="36"/>
              </w:rPr>
            </w:pPr>
          </w:p>
        </w:tc>
      </w:tr>
      <w:tr>
        <w:tblPrEx>
          <w:tblLayout w:type="fixed"/>
          <w:tblCellMar>
            <w:top w:w="0" w:type="dxa"/>
            <w:left w:w="0" w:type="dxa"/>
            <w:bottom w:w="0" w:type="dxa"/>
            <w:right w:w="0" w:type="dxa"/>
          </w:tblCellMar>
        </w:tblPrEx>
        <w:trPr>
          <w:gridAfter w:val="1"/>
          <w:wAfter w:w="15" w:type="dxa"/>
          <w:trHeight w:val="300" w:hRule="atLeast"/>
        </w:trPr>
        <w:tc>
          <w:tcPr>
            <w:tcW w:w="4662" w:type="dxa"/>
            <w:gridSpan w:val="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664"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1068"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3643"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gridAfter w:val="1"/>
          <w:wAfter w:w="15" w:type="dxa"/>
          <w:trHeight w:val="300" w:hRule="atLeast"/>
        </w:trPr>
        <w:tc>
          <w:tcPr>
            <w:tcW w:w="6394" w:type="dxa"/>
            <w:gridSpan w:val="5"/>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3643" w:type="dxa"/>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gridAfter w:val="1"/>
          <w:wAfter w:w="15" w:type="dxa"/>
          <w:trHeight w:val="300" w:hRule="atLeast"/>
        </w:trPr>
        <w:tc>
          <w:tcPr>
            <w:tcW w:w="6394" w:type="dxa"/>
            <w:gridSpan w:val="5"/>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收入</w:t>
            </w:r>
          </w:p>
        </w:tc>
        <w:tc>
          <w:tcPr>
            <w:tcW w:w="7050"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支出</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行次</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金额</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金额</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栏次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一、一般公共预算财政拨款收入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51.42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二、政府性基金预算财政拨款收入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三、上级补助收入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四、事业收入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4</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五、经营收入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六、附属单位上缴收入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七、其他收入</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7</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8</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39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9</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10</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十、节能环保支出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11</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十一、城乡社区支出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十二、农林水支出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十三、交通运输支出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十四、资源勘探工业信息等支出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十五、商业服务业等支出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2126"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十六、金融支出</w:t>
            </w:r>
          </w:p>
        </w:tc>
        <w:tc>
          <w:tcPr>
            <w:tcW w:w="67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47</w:t>
            </w:r>
          </w:p>
        </w:tc>
        <w:tc>
          <w:tcPr>
            <w:tcW w:w="246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十七、援助其他地区支出</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48</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十八、自然资源海洋气象等支出</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49</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49.53</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十九、住房保障支出</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50</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1.89</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二十、粮油物资储备支出</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51</w:t>
            </w:r>
          </w:p>
        </w:tc>
        <w:tc>
          <w:tcPr>
            <w:tcW w:w="24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2126"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二十一、国有资本经营预算支出</w:t>
            </w:r>
          </w:p>
        </w:tc>
        <w:tc>
          <w:tcPr>
            <w:tcW w:w="675"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52</w:t>
            </w:r>
          </w:p>
        </w:tc>
        <w:tc>
          <w:tcPr>
            <w:tcW w:w="246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二十二、灾害防治及应急管理支出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二十三、其他支出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二十四、债务还本支出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kern w:val="0"/>
                <w:sz w:val="20"/>
                <w:szCs w:val="20"/>
              </w:rPr>
            </w:pP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二十五、债务付息支出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26</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20"/>
                <w:szCs w:val="20"/>
              </w:rPr>
            </w:pPr>
            <w:r>
              <w:rPr>
                <w:rFonts w:hint="eastAsia" w:ascii="宋体" w:hAnsi="宋体" w:eastAsia="宋体" w:cs="Arial"/>
                <w:color w:val="000000"/>
                <w:sz w:val="20"/>
                <w:szCs w:val="20"/>
              </w:rPr>
              <w:t>二十六、抗疫特别国债安排的支出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57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color w:val="000000"/>
                <w:sz w:val="20"/>
                <w:szCs w:val="20"/>
              </w:rPr>
            </w:pPr>
            <w:r>
              <w:rPr>
                <w:rFonts w:hint="eastAsia" w:cs="Arial" w:asciiTheme="majorEastAsia" w:hAnsiTheme="majorEastAsia" w:eastAsiaTheme="majorEastAsia"/>
                <w:color w:val="00000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本年收入合计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27</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sz w:val="20"/>
                <w:szCs w:val="20"/>
              </w:rPr>
            </w:pPr>
            <w:r>
              <w:rPr>
                <w:rFonts w:hint="eastAsia" w:ascii="宋体" w:hAnsi="宋体" w:eastAsia="宋体" w:cs="宋体"/>
                <w:b/>
                <w:kern w:val="0"/>
                <w:sz w:val="20"/>
                <w:szCs w:val="20"/>
              </w:rPr>
              <w:t>51.42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Arial" w:asciiTheme="majorEastAsia" w:hAnsiTheme="majorEastAsia" w:eastAsiaTheme="majorEastAsia"/>
                <w:b/>
                <w:color w:val="000000"/>
                <w:sz w:val="20"/>
                <w:szCs w:val="20"/>
              </w:rPr>
            </w:pPr>
            <w:r>
              <w:rPr>
                <w:rFonts w:hint="eastAsia" w:cs="Arial" w:asciiTheme="majorEastAsia" w:hAnsiTheme="majorEastAsia" w:eastAsiaTheme="majorEastAsia"/>
                <w:b/>
                <w:color w:val="000000"/>
                <w:sz w:val="20"/>
                <w:szCs w:val="20"/>
              </w:rPr>
              <w:t>51.42</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用事业基金弥补收支差额</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28</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59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年初结转和结余</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29</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30</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Layout w:type="fixed"/>
          <w:tblCellMar>
            <w:top w:w="0" w:type="dxa"/>
            <w:left w:w="0" w:type="dxa"/>
            <w:bottom w:w="0" w:type="dxa"/>
            <w:right w:w="0" w:type="dxa"/>
          </w:tblCellMar>
        </w:tblPrEx>
        <w:trPr>
          <w:gridAfter w:val="1"/>
          <w:wAfter w:w="15" w:type="dxa"/>
          <w:trHeight w:val="300" w:hRule="atLeast"/>
        </w:trPr>
        <w:tc>
          <w:tcPr>
            <w:tcW w:w="35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总计</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31</w:t>
            </w:r>
          </w:p>
        </w:tc>
        <w:tc>
          <w:tcPr>
            <w:tcW w:w="212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sz w:val="20"/>
                <w:szCs w:val="20"/>
              </w:rPr>
            </w:pPr>
            <w:r>
              <w:rPr>
                <w:rFonts w:hint="eastAsia" w:ascii="宋体" w:hAnsi="宋体" w:eastAsia="宋体" w:cs="宋体"/>
                <w:b/>
                <w:kern w:val="0"/>
                <w:sz w:val="20"/>
                <w:szCs w:val="20"/>
              </w:rPr>
              <w:t>51.42　</w:t>
            </w:r>
          </w:p>
        </w:tc>
        <w:tc>
          <w:tcPr>
            <w:tcW w:w="39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62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sz w:val="20"/>
                <w:szCs w:val="20"/>
              </w:rPr>
            </w:pPr>
            <w:r>
              <w:rPr>
                <w:rFonts w:hint="eastAsia" w:ascii="宋体" w:hAnsi="宋体" w:eastAsia="宋体" w:cs="宋体"/>
                <w:b/>
                <w:kern w:val="0"/>
                <w:sz w:val="20"/>
                <w:szCs w:val="20"/>
              </w:rPr>
              <w:t>51.42　</w:t>
            </w:r>
          </w:p>
        </w:tc>
      </w:tr>
      <w:tr>
        <w:tblPrEx>
          <w:tblLayout w:type="fixed"/>
          <w:tblCellMar>
            <w:top w:w="0" w:type="dxa"/>
            <w:left w:w="0" w:type="dxa"/>
            <w:bottom w:w="0" w:type="dxa"/>
            <w:right w:w="0" w:type="dxa"/>
          </w:tblCellMar>
        </w:tblPrEx>
        <w:trPr>
          <w:trHeight w:val="300" w:hRule="atLeast"/>
        </w:trPr>
        <w:tc>
          <w:tcPr>
            <w:tcW w:w="13459"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962" w:type="dxa"/>
        <w:tblInd w:w="0" w:type="dxa"/>
        <w:tblLayout w:type="fixed"/>
        <w:tblCellMar>
          <w:top w:w="0" w:type="dxa"/>
          <w:left w:w="0" w:type="dxa"/>
          <w:bottom w:w="0" w:type="dxa"/>
          <w:right w:w="0" w:type="dxa"/>
        </w:tblCellMar>
      </w:tblPr>
      <w:tblGrid>
        <w:gridCol w:w="1027"/>
        <w:gridCol w:w="59"/>
        <w:gridCol w:w="3891"/>
        <w:gridCol w:w="50"/>
        <w:gridCol w:w="1553"/>
        <w:gridCol w:w="239"/>
        <w:gridCol w:w="197"/>
        <w:gridCol w:w="1117"/>
        <w:gridCol w:w="104"/>
        <w:gridCol w:w="332"/>
        <w:gridCol w:w="802"/>
        <w:gridCol w:w="315"/>
        <w:gridCol w:w="436"/>
        <w:gridCol w:w="241"/>
        <w:gridCol w:w="876"/>
        <w:gridCol w:w="116"/>
        <w:gridCol w:w="320"/>
        <w:gridCol w:w="528"/>
        <w:gridCol w:w="589"/>
        <w:gridCol w:w="1053"/>
        <w:gridCol w:w="1117"/>
      </w:tblGrid>
      <w:tr>
        <w:tblPrEx>
          <w:tblLayout w:type="fixed"/>
          <w:tblCellMar>
            <w:top w:w="0" w:type="dxa"/>
            <w:left w:w="0" w:type="dxa"/>
            <w:bottom w:w="0" w:type="dxa"/>
            <w:right w:w="0" w:type="dxa"/>
          </w:tblCellMar>
        </w:tblPrEx>
        <w:trPr>
          <w:gridAfter w:val="1"/>
          <w:wAfter w:w="1117" w:type="dxa"/>
          <w:trHeight w:val="435" w:hRule="atLeast"/>
        </w:trPr>
        <w:tc>
          <w:tcPr>
            <w:tcW w:w="13845" w:type="dxa"/>
            <w:gridSpan w:val="20"/>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Layout w:type="fixed"/>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3891"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4"/>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4"/>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Layout w:type="fixed"/>
          <w:tblCellMar>
            <w:top w:w="0" w:type="dxa"/>
            <w:left w:w="0" w:type="dxa"/>
            <w:bottom w:w="0" w:type="dxa"/>
            <w:right w:w="0" w:type="dxa"/>
          </w:tblCellMar>
        </w:tblPrEx>
        <w:trPr>
          <w:gridAfter w:val="1"/>
          <w:wAfter w:w="1117" w:type="dxa"/>
          <w:trHeight w:val="300" w:hRule="atLeast"/>
        </w:trPr>
        <w:tc>
          <w:tcPr>
            <w:tcW w:w="7016" w:type="dxa"/>
            <w:gridSpan w:val="7"/>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553" w:type="dxa"/>
            <w:gridSpan w:val="4"/>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gridAfter w:val="1"/>
          <w:wAfter w:w="1117" w:type="dxa"/>
          <w:trHeight w:val="450" w:hRule="atLeast"/>
        </w:trPr>
        <w:tc>
          <w:tcPr>
            <w:tcW w:w="497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842"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418" w:type="dxa"/>
            <w:gridSpan w:val="3"/>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992"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992"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84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3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842"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8"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2"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4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42"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8"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2"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4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4977"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642" w:type="dxa"/>
            <w:gridSpan w:val="2"/>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Layout w:type="fixed"/>
          <w:tblCellMar>
            <w:top w:w="0" w:type="dxa"/>
            <w:left w:w="0" w:type="dxa"/>
            <w:bottom w:w="0" w:type="dxa"/>
            <w:right w:w="0" w:type="dxa"/>
          </w:tblCellMar>
        </w:tblPrEx>
        <w:trPr>
          <w:gridAfter w:val="1"/>
          <w:wAfter w:w="1117" w:type="dxa"/>
          <w:trHeight w:val="450" w:hRule="atLeast"/>
        </w:trPr>
        <w:tc>
          <w:tcPr>
            <w:tcW w:w="4977"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自然资源海洋气象等支出</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自然资源事务</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2200150</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事业运行</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2200199</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其他自然资源事务支出</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住房保障支出</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22102</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住房改革支出</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2210201</w:t>
            </w:r>
          </w:p>
        </w:tc>
        <w:tc>
          <w:tcPr>
            <w:tcW w:w="389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住房公积金</w:t>
            </w:r>
          </w:p>
        </w:tc>
        <w:tc>
          <w:tcPr>
            <w:tcW w:w="1842"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84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1117" w:type="dxa"/>
          <w:trHeight w:val="615" w:hRule="atLeast"/>
        </w:trPr>
        <w:tc>
          <w:tcPr>
            <w:tcW w:w="13845" w:type="dxa"/>
            <w:gridSpan w:val="20"/>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965" w:type="dxa"/>
        <w:tblInd w:w="0" w:type="dxa"/>
        <w:tblLayout w:type="fixed"/>
        <w:tblCellMar>
          <w:top w:w="0" w:type="dxa"/>
          <w:left w:w="0" w:type="dxa"/>
          <w:bottom w:w="0" w:type="dxa"/>
          <w:right w:w="0" w:type="dxa"/>
        </w:tblCellMar>
      </w:tblPr>
      <w:tblGrid>
        <w:gridCol w:w="1120"/>
        <w:gridCol w:w="63"/>
        <w:gridCol w:w="27"/>
        <w:gridCol w:w="4050"/>
        <w:gridCol w:w="50"/>
        <w:gridCol w:w="1368"/>
        <w:gridCol w:w="434"/>
        <w:gridCol w:w="824"/>
        <w:gridCol w:w="443"/>
        <w:gridCol w:w="534"/>
        <w:gridCol w:w="825"/>
        <w:gridCol w:w="58"/>
        <w:gridCol w:w="919"/>
        <w:gridCol w:w="357"/>
        <w:gridCol w:w="467"/>
        <w:gridCol w:w="950"/>
        <w:gridCol w:w="27"/>
        <w:gridCol w:w="1472"/>
        <w:gridCol w:w="977"/>
      </w:tblGrid>
      <w:tr>
        <w:tblPrEx>
          <w:tblLayout w:type="fixed"/>
          <w:tblCellMar>
            <w:top w:w="0" w:type="dxa"/>
            <w:left w:w="0" w:type="dxa"/>
            <w:bottom w:w="0" w:type="dxa"/>
            <w:right w:w="0" w:type="dxa"/>
          </w:tblCellMar>
        </w:tblPrEx>
        <w:trPr>
          <w:gridAfter w:val="1"/>
          <w:wAfter w:w="977" w:type="dxa"/>
          <w:trHeight w:val="435" w:hRule="atLeast"/>
        </w:trPr>
        <w:tc>
          <w:tcPr>
            <w:tcW w:w="13988" w:type="dxa"/>
            <w:gridSpan w:val="18"/>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Layout w:type="fixed"/>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405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2"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4"/>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Layout w:type="fixed"/>
          <w:tblCellMar>
            <w:top w:w="0" w:type="dxa"/>
            <w:left w:w="0" w:type="dxa"/>
            <w:bottom w:w="0" w:type="dxa"/>
            <w:right w:w="0" w:type="dxa"/>
          </w:tblCellMar>
        </w:tblPrEx>
        <w:trPr>
          <w:gridAfter w:val="1"/>
          <w:wAfter w:w="977" w:type="dxa"/>
          <w:trHeight w:val="300" w:hRule="atLeast"/>
        </w:trPr>
        <w:tc>
          <w:tcPr>
            <w:tcW w:w="7936" w:type="dxa"/>
            <w:gridSpan w:val="8"/>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1802" w:type="dxa"/>
            <w:gridSpan w:val="3"/>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801" w:type="dxa"/>
            <w:gridSpan w:val="4"/>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449"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gridAfter w:val="1"/>
          <w:wAfter w:w="977" w:type="dxa"/>
          <w:trHeight w:val="450" w:hRule="atLeast"/>
        </w:trPr>
        <w:tc>
          <w:tcPr>
            <w:tcW w:w="5260"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701"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417"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41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499"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407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9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407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9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5260"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99" w:type="dxa"/>
            <w:gridSpan w:val="2"/>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gridAfter w:val="1"/>
          <w:wAfter w:w="977" w:type="dxa"/>
          <w:trHeight w:val="450" w:hRule="atLeast"/>
        </w:trPr>
        <w:tc>
          <w:tcPr>
            <w:tcW w:w="5260"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自然资源海洋气象等支出</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自然资源事务</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2200150</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事业运行</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2200199</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其他自然资源事务支出</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住房保障支出</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22102</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住房改革支出</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450" w:hRule="atLeast"/>
        </w:trPr>
        <w:tc>
          <w:tcPr>
            <w:tcW w:w="1183"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2210201</w:t>
            </w:r>
          </w:p>
        </w:tc>
        <w:tc>
          <w:tcPr>
            <w:tcW w:w="4077"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住房公积金</w:t>
            </w:r>
          </w:p>
        </w:tc>
        <w:tc>
          <w:tcPr>
            <w:tcW w:w="141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701"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1417"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1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p>
        </w:tc>
        <w:tc>
          <w:tcPr>
            <w:tcW w:w="1499"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gridAfter w:val="1"/>
          <w:wAfter w:w="977" w:type="dxa"/>
          <w:trHeight w:val="630" w:hRule="atLeast"/>
        </w:trPr>
        <w:tc>
          <w:tcPr>
            <w:tcW w:w="13988" w:type="dxa"/>
            <w:gridSpan w:val="18"/>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4126"/>
        <w:gridCol w:w="567"/>
        <w:gridCol w:w="1134"/>
        <w:gridCol w:w="2977"/>
        <w:gridCol w:w="567"/>
        <w:gridCol w:w="1258"/>
        <w:gridCol w:w="1343"/>
        <w:gridCol w:w="336"/>
        <w:gridCol w:w="1680"/>
      </w:tblGrid>
      <w:tr>
        <w:tblPrEx>
          <w:tblLayout w:type="fixed"/>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199" w:hRule="atLeast"/>
        </w:trPr>
        <w:tc>
          <w:tcPr>
            <w:tcW w:w="4126"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6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134"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6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258"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0" w:type="dxa"/>
            <w:left w:w="0" w:type="dxa"/>
            <w:bottom w:w="0" w:type="dxa"/>
            <w:right w:w="0" w:type="dxa"/>
          </w:tblCellMar>
        </w:tblPrEx>
        <w:trPr>
          <w:trHeight w:val="300" w:hRule="atLeast"/>
        </w:trPr>
        <w:tc>
          <w:tcPr>
            <w:tcW w:w="4126"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56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134"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567"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258"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2" w:hRule="atLeast"/>
        </w:trPr>
        <w:tc>
          <w:tcPr>
            <w:tcW w:w="5827"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161"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Layout w:type="fixed"/>
          <w:tblCellMar>
            <w:top w:w="0" w:type="dxa"/>
            <w:left w:w="0" w:type="dxa"/>
            <w:bottom w:w="0" w:type="dxa"/>
            <w:right w:w="0" w:type="dxa"/>
          </w:tblCellMar>
        </w:tblPrEx>
        <w:trPr>
          <w:trHeight w:val="630"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9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cs="Arial" w:asciiTheme="minorEastAsia" w:hAnsiTheme="minorEastAsia"/>
                <w:kern w:val="0"/>
                <w:sz w:val="20"/>
                <w:szCs w:val="20"/>
              </w:rPr>
            </w:pPr>
            <w:r>
              <w:rPr>
                <w:rFonts w:hint="eastAsia" w:cs="Arial" w:asciiTheme="minorEastAsia" w:hAnsiTheme="minorEastAsia"/>
                <w:sz w:val="20"/>
                <w:szCs w:val="20"/>
              </w:rPr>
              <w:t>一、一般公共服务支出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33</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二、外交支出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34</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三、国防支出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35</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四、公共安全支出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36</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五、教育支出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37</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六、科学技术支出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38</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七、文化旅游体育与传媒支出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39</w:t>
            </w:r>
          </w:p>
        </w:tc>
        <w:tc>
          <w:tcPr>
            <w:tcW w:w="125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40</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九、卫生健康支出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41</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十、节能环保支出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42</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十一、城乡社区支出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43</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2</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十二、农林水支出</w:t>
            </w:r>
          </w:p>
        </w:tc>
        <w:tc>
          <w:tcPr>
            <w:tcW w:w="56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44</w:t>
            </w:r>
          </w:p>
        </w:tc>
        <w:tc>
          <w:tcPr>
            <w:tcW w:w="1258" w:type="dxa"/>
            <w:tcBorders>
              <w:top w:val="single" w:color="000000" w:sz="4" w:space="0"/>
              <w:left w:val="nil"/>
              <w:bottom w:val="single" w:color="auto"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cs="Arial" w:asciiTheme="minorEastAsia" w:hAnsiTheme="minorEastAsia"/>
                <w:kern w:val="0"/>
                <w:sz w:val="20"/>
                <w:szCs w:val="20"/>
              </w:rPr>
            </w:pPr>
            <w:r>
              <w:rPr>
                <w:rFonts w:hint="eastAsia" w:cs="Arial" w:asciiTheme="minorEastAsia" w:hAnsiTheme="minorEastAsia"/>
                <w:sz w:val="20"/>
                <w:szCs w:val="20"/>
              </w:rPr>
              <w:t>十三、交通运输支出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45</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十四、资源勘探工业信息等支出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46</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十五、商业服务业等支出</w:t>
            </w:r>
          </w:p>
        </w:tc>
        <w:tc>
          <w:tcPr>
            <w:tcW w:w="56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47</w:t>
            </w:r>
          </w:p>
        </w:tc>
        <w:tc>
          <w:tcPr>
            <w:tcW w:w="1258" w:type="dxa"/>
            <w:tcBorders>
              <w:top w:val="single" w:color="auto"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十六、金融支出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48</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49</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十八、自然资源海洋气象等支出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50</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sz w:val="20"/>
                <w:szCs w:val="20"/>
              </w:rPr>
              <w:t>49.53</w:t>
            </w:r>
          </w:p>
        </w:tc>
        <w:tc>
          <w:tcPr>
            <w:tcW w:w="16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49.53</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十九、住房保障支出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51</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1.89</w:t>
            </w:r>
          </w:p>
        </w:tc>
        <w:tc>
          <w:tcPr>
            <w:tcW w:w="167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1.89</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52</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二十一、国有资本经营预算支出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53</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二十二、灾害防治及应急管理支出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54</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二十三、其他支出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55</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二十四、债务还本支出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56</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二十五、债务付息支出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57</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cs="Arial" w:asciiTheme="minorEastAsia" w:hAnsiTheme="minorEastAsia"/>
                <w:sz w:val="20"/>
                <w:szCs w:val="20"/>
              </w:rPr>
            </w:pPr>
            <w:r>
              <w:rPr>
                <w:rFonts w:hint="eastAsia" w:cs="Arial" w:asciiTheme="minorEastAsia" w:hAnsiTheme="minorEastAsia"/>
                <w:sz w:val="20"/>
                <w:szCs w:val="20"/>
              </w:rPr>
              <w:t>二十六、抗疫特别国债安排的支出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Arial"/>
                <w:sz w:val="20"/>
                <w:szCs w:val="20"/>
              </w:rPr>
            </w:pPr>
            <w:r>
              <w:rPr>
                <w:rFonts w:hint="eastAsia" w:ascii="宋体" w:hAnsi="宋体" w:eastAsia="宋体" w:cs="Arial"/>
                <w:sz w:val="20"/>
                <w:szCs w:val="20"/>
              </w:rPr>
              <w:t>58</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59</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60</w:t>
            </w:r>
          </w:p>
        </w:tc>
        <w:tc>
          <w:tcPr>
            <w:tcW w:w="125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000000"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5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29</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61</w:t>
            </w:r>
          </w:p>
        </w:tc>
        <w:tc>
          <w:tcPr>
            <w:tcW w:w="1258" w:type="dxa"/>
            <w:tcBorders>
              <w:top w:val="single" w:color="000000" w:sz="4" w:space="0"/>
              <w:left w:val="nil"/>
              <w:bottom w:val="single" w:color="auto"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30</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62</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29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63</w:t>
            </w:r>
          </w:p>
        </w:tc>
        <w:tc>
          <w:tcPr>
            <w:tcW w:w="12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4126" w:type="dxa"/>
            <w:tcBorders>
              <w:top w:val="single" w:color="auto"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32</w:t>
            </w:r>
          </w:p>
        </w:tc>
        <w:tc>
          <w:tcPr>
            <w:tcW w:w="1134" w:type="dxa"/>
            <w:tcBorders>
              <w:top w:val="single" w:color="auto"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2977" w:type="dxa"/>
            <w:tcBorders>
              <w:top w:val="single" w:color="auto" w:sz="4" w:space="0"/>
              <w:left w:val="single" w:color="000000" w:sz="4"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rPr>
              <w:t>64</w:t>
            </w:r>
          </w:p>
        </w:tc>
        <w:tc>
          <w:tcPr>
            <w:tcW w:w="1258" w:type="dxa"/>
            <w:tcBorders>
              <w:top w:val="single" w:color="auto" w:sz="4" w:space="0"/>
              <w:left w:val="nil"/>
              <w:bottom w:val="nil"/>
              <w:right w:val="nil"/>
            </w:tcBorders>
            <w:shd w:val="clear" w:color="auto" w:fill="FFFFFF"/>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1679" w:type="dxa"/>
            <w:gridSpan w:val="2"/>
            <w:tcBorders>
              <w:top w:val="single" w:color="auto"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ascii="宋体" w:hAnsi="宋体" w:cs="宋体"/>
                <w:b/>
                <w:color w:val="000000"/>
                <w:sz w:val="20"/>
                <w:szCs w:val="20"/>
              </w:rPr>
            </w:pPr>
            <w:r>
              <w:rPr>
                <w:rFonts w:hint="eastAsia" w:ascii="宋体" w:hAnsi="宋体" w:cs="宋体"/>
                <w:b/>
                <w:color w:val="000000"/>
                <w:sz w:val="20"/>
                <w:szCs w:val="20"/>
              </w:rPr>
              <w:t>5</w:t>
            </w:r>
            <w:r>
              <w:rPr>
                <w:rFonts w:ascii="宋体" w:hAnsi="宋体" w:cs="宋体"/>
                <w:b/>
                <w:color w:val="000000"/>
                <w:sz w:val="20"/>
                <w:szCs w:val="20"/>
              </w:rPr>
              <w:t>1.42</w:t>
            </w:r>
          </w:p>
        </w:tc>
        <w:tc>
          <w:tcPr>
            <w:tcW w:w="168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3137"/>
        <w:gridCol w:w="3119"/>
        <w:gridCol w:w="2867"/>
        <w:gridCol w:w="3451"/>
      </w:tblGrid>
      <w:tr>
        <w:tblPrEx>
          <w:tblLayout w:type="fixed"/>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137"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11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86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7"/>
                <w:rFonts w:hint="default"/>
              </w:rPr>
              <w:t>5表</w:t>
            </w:r>
          </w:p>
        </w:tc>
      </w:tr>
      <w:tr>
        <w:tblPrEx>
          <w:tblLayout w:type="fixed"/>
          <w:tblCellMar>
            <w:top w:w="0" w:type="dxa"/>
            <w:left w:w="0" w:type="dxa"/>
            <w:bottom w:w="0" w:type="dxa"/>
            <w:right w:w="0" w:type="dxa"/>
          </w:tblCellMar>
        </w:tblPrEx>
        <w:trPr>
          <w:trHeight w:val="300" w:hRule="atLeast"/>
        </w:trPr>
        <w:tc>
          <w:tcPr>
            <w:tcW w:w="7670" w:type="dxa"/>
            <w:gridSpan w:val="4"/>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286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4551"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8"/>
                <w:rFonts w:hint="default"/>
                <w:sz w:val="20"/>
                <w:szCs w:val="20"/>
              </w:rPr>
              <w:t xml:space="preserve">   </w:t>
            </w:r>
            <w:r>
              <w:rPr>
                <w:rStyle w:val="9"/>
                <w:rFonts w:hint="default"/>
                <w:sz w:val="20"/>
                <w:szCs w:val="20"/>
              </w:rPr>
              <w:t>目</w:t>
            </w:r>
          </w:p>
        </w:tc>
        <w:tc>
          <w:tcPr>
            <w:tcW w:w="9437"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Layout w:type="fixed"/>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31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11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86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Layout w:type="fixed"/>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1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86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1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86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4551"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Layout w:type="fixed"/>
          <w:tblCellMar>
            <w:top w:w="0" w:type="dxa"/>
            <w:left w:w="0" w:type="dxa"/>
            <w:bottom w:w="0" w:type="dxa"/>
            <w:right w:w="0" w:type="dxa"/>
          </w:tblCellMar>
        </w:tblPrEx>
        <w:trPr>
          <w:trHeight w:val="450" w:hRule="atLeast"/>
        </w:trPr>
        <w:tc>
          <w:tcPr>
            <w:tcW w:w="4551"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w:t>
            </w:r>
            <w:r>
              <w:rPr>
                <w:rFonts w:ascii="宋体" w:hAnsi="宋体" w:cs="宋体"/>
                <w:color w:val="000000"/>
                <w:sz w:val="20"/>
                <w:szCs w:val="20"/>
              </w:rPr>
              <w:t>1.42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220</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自然资源海洋气象等支出</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22001</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自然资源事务</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49.53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2200150</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事业运行</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15.51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2200199</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其他自然资源事务支出</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34.02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221</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住房保障支出</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22102</w:t>
            </w:r>
          </w:p>
        </w:tc>
        <w:tc>
          <w:tcPr>
            <w:tcW w:w="3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住房改革支出</w:t>
            </w:r>
          </w:p>
        </w:tc>
        <w:tc>
          <w:tcPr>
            <w:tcW w:w="3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tcPr>
          <w:p>
            <w:pPr>
              <w:rPr>
                <w:rFonts w:ascii="宋体" w:hAnsi="宋体" w:eastAsia="宋体"/>
                <w:sz w:val="20"/>
                <w:szCs w:val="20"/>
              </w:rPr>
            </w:pPr>
            <w:r>
              <w:rPr>
                <w:rFonts w:hint="eastAsia" w:ascii="宋体" w:hAnsi="宋体" w:eastAsia="宋体"/>
                <w:sz w:val="20"/>
                <w:szCs w:val="20"/>
              </w:rPr>
              <w:t>2210201</w:t>
            </w:r>
          </w:p>
        </w:tc>
        <w:tc>
          <w:tcPr>
            <w:tcW w:w="3137"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住房公积金</w:t>
            </w:r>
          </w:p>
        </w:tc>
        <w:tc>
          <w:tcPr>
            <w:tcW w:w="31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286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tcPr>
          <w:p>
            <w:pPr>
              <w:jc w:val="right"/>
              <w:rPr>
                <w:rFonts w:ascii="宋体" w:hAnsi="宋体" w:eastAsia="宋体"/>
                <w:sz w:val="20"/>
                <w:szCs w:val="20"/>
              </w:rPr>
            </w:pPr>
            <w:r>
              <w:rPr>
                <w:rFonts w:ascii="宋体" w:hAnsi="宋体" w:eastAsia="宋体"/>
                <w:sz w:val="20"/>
                <w:szCs w:val="20"/>
              </w:rPr>
              <w:t>1.89</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tblLayout w:type="fixed"/>
          <w:tblCellMar>
            <w:top w:w="0" w:type="dxa"/>
            <w:left w:w="108" w:type="dxa"/>
            <w:bottom w:w="0" w:type="dxa"/>
            <w:right w:w="108" w:type="dxa"/>
          </w:tblCellMar>
        </w:tblPrEx>
        <w:trPr>
          <w:trHeight w:val="450" w:hRule="atLeast"/>
        </w:trPr>
        <w:tc>
          <w:tcPr>
            <w:tcW w:w="860" w:type="dxa"/>
            <w:shd w:val="clear" w:color="auto" w:fill="FFFFFF"/>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13153" w:type="dxa"/>
            <w:gridSpan w:val="9"/>
            <w:shd w:val="clear" w:color="auto" w:fill="FFFFFF"/>
            <w:vAlign w:val="center"/>
          </w:tcPr>
          <w:p>
            <w:pPr>
              <w:widowControl/>
              <w:jc w:val="center"/>
              <w:rPr>
                <w:rFonts w:ascii="黑体" w:hAnsi="宋体" w:eastAsia="黑体" w:cs="Arial"/>
                <w:color w:val="000000"/>
                <w:kern w:val="0"/>
                <w:sz w:val="32"/>
                <w:szCs w:val="32"/>
              </w:rPr>
            </w:pPr>
            <w:r>
              <w:rPr>
                <w:rFonts w:hint="eastAsia" w:ascii="黑体" w:hAnsi="宋体" w:eastAsia="黑体" w:cs="Arial"/>
                <w:color w:val="000000"/>
                <w:kern w:val="0"/>
                <w:sz w:val="32"/>
                <w:szCs w:val="32"/>
              </w:rPr>
              <w:t>一般公共预算财政拨款基本支出决算表</w:t>
            </w:r>
          </w:p>
        </w:tc>
      </w:tr>
      <w:tr>
        <w:tblPrEx>
          <w:tblLayout w:type="fixed"/>
          <w:tblCellMar>
            <w:top w:w="0" w:type="dxa"/>
            <w:left w:w="108" w:type="dxa"/>
            <w:bottom w:w="0" w:type="dxa"/>
            <w:right w:w="108" w:type="dxa"/>
          </w:tblCellMar>
        </w:tblPrEx>
        <w:trPr>
          <w:trHeight w:val="300" w:hRule="atLeast"/>
        </w:trPr>
        <w:tc>
          <w:tcPr>
            <w:tcW w:w="860"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30"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55"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18"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30"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16"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0" w:type="dxa"/>
            <w:gridSpan w:val="2"/>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30" w:type="dxa"/>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4" w:type="dxa"/>
            <w:shd w:val="clear" w:color="auto" w:fill="FFFFFF"/>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Layout w:type="fixed"/>
          <w:tblCellMar>
            <w:top w:w="0" w:type="dxa"/>
            <w:left w:w="108" w:type="dxa"/>
            <w:bottom w:w="0" w:type="dxa"/>
            <w:right w:w="108" w:type="dxa"/>
          </w:tblCellMar>
        </w:tblPrEx>
        <w:trPr>
          <w:trHeight w:val="270" w:hRule="atLeast"/>
        </w:trPr>
        <w:tc>
          <w:tcPr>
            <w:tcW w:w="7593" w:type="dxa"/>
            <w:gridSpan w:val="5"/>
            <w:tcBorders>
              <w:top w:val="nil"/>
              <w:left w:val="nil"/>
              <w:bottom w:val="single" w:color="auto" w:sz="4" w:space="0"/>
              <w:right w:val="nil"/>
            </w:tcBorders>
            <w:shd w:val="clear" w:color="auto"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r>
              <w:rPr>
                <w:rFonts w:hint="eastAsia" w:ascii="宋体" w:hAnsi="宋体" w:eastAsia="宋体" w:cs="Arial"/>
                <w:color w:val="000000"/>
                <w:kern w:val="0"/>
                <w:sz w:val="22"/>
              </w:rPr>
              <w:t>　</w:t>
            </w:r>
          </w:p>
        </w:tc>
        <w:tc>
          <w:tcPr>
            <w:tcW w:w="716" w:type="dxa"/>
            <w:tcBorders>
              <w:top w:val="nil"/>
              <w:left w:val="nil"/>
              <w:bottom w:val="single" w:color="auto" w:sz="4" w:space="0"/>
              <w:right w:val="nil"/>
            </w:tcBorders>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0" w:type="dxa"/>
            <w:gridSpan w:val="2"/>
            <w:tcBorders>
              <w:top w:val="nil"/>
              <w:left w:val="nil"/>
              <w:bottom w:val="single" w:color="auto" w:sz="4" w:space="0"/>
              <w:right w:val="nil"/>
            </w:tcBorders>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30" w:type="dxa"/>
            <w:tcBorders>
              <w:top w:val="nil"/>
              <w:left w:val="nil"/>
              <w:bottom w:val="single" w:color="auto" w:sz="4" w:space="0"/>
              <w:right w:val="nil"/>
            </w:tcBorders>
            <w:shd w:val="clear" w:color="auto"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4" w:type="dxa"/>
            <w:tcBorders>
              <w:top w:val="nil"/>
              <w:left w:val="nil"/>
              <w:bottom w:val="single" w:color="auto" w:sz="4" w:space="0"/>
              <w:right w:val="nil"/>
            </w:tcBorders>
            <w:shd w:val="clear" w:color="auto" w:fill="FFFFFF"/>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Layout w:type="fixed"/>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Layout w:type="fixed"/>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sz w:val="20"/>
                <w:szCs w:val="20"/>
              </w:rPr>
              <w:t>28.16</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sz w:val="20"/>
                <w:szCs w:val="20"/>
              </w:rPr>
              <w:t>21.51</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20.16</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1.21</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0.34</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0.58</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w:t>
            </w:r>
            <w:r>
              <w:rPr>
                <w:rFonts w:ascii="宋体" w:hAnsi="宋体" w:eastAsia="宋体" w:cs="Arial"/>
                <w:kern w:val="0"/>
                <w:sz w:val="20"/>
                <w:szCs w:val="20"/>
              </w:rPr>
              <w:t>.75</w:t>
            </w: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w:t>
            </w:r>
            <w:r>
              <w:rPr>
                <w:rFonts w:ascii="宋体" w:hAnsi="宋体" w:eastAsia="宋体" w:cs="Arial"/>
                <w:kern w:val="0"/>
                <w:sz w:val="20"/>
                <w:szCs w:val="20"/>
              </w:rPr>
              <w:t>.75</w:t>
            </w: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sz w:val="20"/>
                <w:szCs w:val="20"/>
              </w:rPr>
              <w:t>2.26</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1.19</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1.20</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0.25</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r>
              <w:rPr>
                <w:rFonts w:ascii="宋体" w:hAnsi="宋体" w:eastAsia="宋体" w:cs="Arial"/>
                <w:kern w:val="0"/>
                <w:sz w:val="20"/>
                <w:szCs w:val="20"/>
              </w:rPr>
              <w:t>.04</w:t>
            </w: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2.42</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r>
              <w:rPr>
                <w:rFonts w:ascii="宋体" w:hAnsi="宋体" w:eastAsia="宋体" w:cs="Arial"/>
                <w:kern w:val="0"/>
                <w:sz w:val="20"/>
                <w:szCs w:val="20"/>
              </w:rPr>
              <w:t>.11</w:t>
            </w: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w:t>
            </w:r>
            <w:r>
              <w:rPr>
                <w:rFonts w:ascii="宋体" w:hAnsi="宋体" w:eastAsia="宋体" w:cs="Arial"/>
                <w:kern w:val="0"/>
                <w:sz w:val="20"/>
                <w:szCs w:val="20"/>
              </w:rPr>
              <w:t>.34</w:t>
            </w: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sz w:val="20"/>
                <w:szCs w:val="20"/>
              </w:rPr>
              <w:t>6.75</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8.00</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0"/>
                <w:szCs w:val="20"/>
              </w:rPr>
            </w:pPr>
            <w:r>
              <w:rPr>
                <w:rFonts w:hint="eastAsia" w:ascii="宋体" w:hAnsi="宋体" w:eastAsia="宋体" w:cs="Arial"/>
                <w:color w:val="000000"/>
                <w:sz w:val="20"/>
                <w:szCs w:val="20"/>
              </w:rPr>
              <w:t>4.82</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8.16</w:t>
            </w:r>
          </w:p>
        </w:tc>
        <w:tc>
          <w:tcPr>
            <w:tcW w:w="8134"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3.26</w:t>
            </w: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Layout w:type="fixed"/>
          <w:tblCellMar>
            <w:top w:w="0" w:type="dxa"/>
            <w:left w:w="0" w:type="dxa"/>
            <w:bottom w:w="0" w:type="dxa"/>
            <w:right w:w="0" w:type="dxa"/>
          </w:tblCellMar>
        </w:tblPrEx>
        <w:trPr>
          <w:trHeight w:val="300" w:hRule="atLeast"/>
        </w:trPr>
        <w:tc>
          <w:tcPr>
            <w:tcW w:w="6901" w:type="dxa"/>
            <w:gridSpan w:val="6"/>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0"/>
                <w:rFonts w:hint="default"/>
                <w:sz w:val="20"/>
                <w:szCs w:val="20"/>
              </w:rPr>
              <w:t>预算数为“三公”经费调整预算数，决算数是包括当年一般公共预算财政拨款和以前年度结转资金安排的实际支出。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Layout w:type="fixed"/>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Layout w:type="fixed"/>
          <w:tblCellMar>
            <w:top w:w="0" w:type="dxa"/>
            <w:left w:w="0" w:type="dxa"/>
            <w:bottom w:w="0" w:type="dxa"/>
            <w:right w:w="0" w:type="dxa"/>
          </w:tblCellMar>
        </w:tblPrEx>
        <w:trPr>
          <w:trHeight w:val="300" w:hRule="atLeast"/>
        </w:trPr>
        <w:tc>
          <w:tcPr>
            <w:tcW w:w="6276" w:type="dxa"/>
            <w:gridSpan w:val="5"/>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cs="仿宋_GB2312" w:asciiTheme="majorEastAsia" w:hAnsiTheme="majorEastAsia" w:eastAsiaTheme="majorEastAsia"/>
                <w:kern w:val="0"/>
                <w:sz w:val="20"/>
                <w:szCs w:val="20"/>
              </w:rPr>
              <w:t>义马市国土资源局新区国土资源所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rPr>
          <w:rFonts w:cs="仿宋_GB2312" w:asciiTheme="minorEastAsia" w:hAnsiTheme="minorEastAsia"/>
          <w:sz w:val="20"/>
          <w:szCs w:val="20"/>
        </w:rPr>
        <w:sectPr>
          <w:pgSz w:w="16838" w:h="11906" w:orient="landscape"/>
          <w:pgMar w:top="1800" w:right="1440" w:bottom="1800" w:left="1440" w:header="720" w:footer="720" w:gutter="0"/>
          <w:pgNumType w:fmt="numberInDash"/>
          <w:cols w:space="720" w:num="1"/>
          <w:docGrid w:type="lines" w:linePitch="312" w:charSpace="0"/>
        </w:sectPr>
      </w:pPr>
      <w:r>
        <w:rPr>
          <w:rFonts w:hint="eastAsia" w:cs="仿宋_GB2312" w:asciiTheme="minorEastAsia" w:hAnsiTheme="minorEastAsia"/>
          <w:sz w:val="20"/>
          <w:szCs w:val="20"/>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autoSpaceDE w:val="0"/>
        <w:autoSpaceDN w:val="0"/>
        <w:adjustRightInd w:val="0"/>
        <w:spacing w:line="590" w:lineRule="exact"/>
        <w:ind w:firstLine="640"/>
        <w:rPr>
          <w:rFonts w:ascii="Times New Roman" w:hAnsi="Times New Roman" w:eastAsia="仿宋_GB2312" w:cs="Times New Roman"/>
          <w:kern w:val="0"/>
          <w:sz w:val="18"/>
          <w:szCs w:val="18"/>
          <w:lang w:val="zh-CN"/>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年度收、支总计均为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万元。与上年度相比，收、支总计各增加</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。主要原因是：本单位为新增单位。</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autoSpaceDE w:val="0"/>
        <w:autoSpaceDN w:val="0"/>
        <w:adjustRightInd w:val="0"/>
        <w:spacing w:line="590" w:lineRule="exact"/>
        <w:ind w:firstLine="640"/>
        <w:rPr>
          <w:rFonts w:ascii="Times New Roman" w:hAnsi="Times New Roman" w:eastAsia="仿宋_GB2312" w:cs="Times New Roman"/>
          <w:kern w:val="0"/>
          <w:sz w:val="18"/>
          <w:szCs w:val="18"/>
          <w:lang w:val="zh-CN"/>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年度收入合计</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outlineLvl w:val="1"/>
        <w:rPr>
          <w:rFonts w:ascii="仿宋_GB2312" w:hAnsi="Times New Roman" w:eastAsia="仿宋_GB2312" w:cs="仿宋_GB2312"/>
          <w:sz w:val="32"/>
          <w:szCs w:val="32"/>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年度支出合计</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；上缴上级支出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；经营支出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；对附属单位补助支出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autoSpaceDE w:val="0"/>
        <w:autoSpaceDN w:val="0"/>
        <w:adjustRightInd w:val="0"/>
        <w:spacing w:line="590" w:lineRule="exact"/>
        <w:ind w:firstLine="640"/>
        <w:rPr>
          <w:rFonts w:ascii="Times New Roman" w:hAnsi="Times New Roman" w:eastAsia="仿宋_GB2312" w:cs="Times New Roman"/>
          <w:kern w:val="0"/>
          <w:sz w:val="18"/>
          <w:szCs w:val="18"/>
          <w:lang w:val="zh-CN"/>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年度财政拨款收、支总计均为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万元。与上年度相比，财政拨款收、支总计各增加</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。主要原因是本单位是新增单位。</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年度一般公共预算财政拨款支出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万元，占支出合计的</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。与上年度相比，一般公共预算财政拨款支出增加</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。主要原因是本单位是新增单位。</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2021年度一般公共预算财政拨款支出5</w:t>
      </w:r>
      <w:r>
        <w:rPr>
          <w:rFonts w:ascii="仿宋_GB2312" w:hAnsi="仿宋_GB2312" w:eastAsia="仿宋_GB2312" w:cs="仿宋_GB2312"/>
          <w:sz w:val="32"/>
          <w:szCs w:val="32"/>
        </w:rPr>
        <w:t>1.42</w:t>
      </w:r>
      <w:r>
        <w:rPr>
          <w:rFonts w:hint="eastAsia" w:ascii="仿宋_GB2312" w:hAnsi="仿宋_GB2312" w:eastAsia="仿宋_GB2312" w:cs="仿宋_GB2312"/>
          <w:sz w:val="32"/>
          <w:szCs w:val="32"/>
        </w:rPr>
        <w:t>万元，主要用于以下方面：自然资源海洋气象等支出4</w:t>
      </w:r>
      <w:r>
        <w:rPr>
          <w:rFonts w:ascii="仿宋_GB2312" w:hAnsi="仿宋_GB2312" w:eastAsia="仿宋_GB2312" w:cs="仿宋_GB2312"/>
          <w:sz w:val="32"/>
          <w:szCs w:val="32"/>
        </w:rPr>
        <w:t>9.53</w:t>
      </w:r>
      <w:r>
        <w:rPr>
          <w:rFonts w:hint="eastAsia" w:ascii="仿宋_GB2312" w:hAnsi="仿宋_GB2312" w:eastAsia="仿宋_GB2312" w:cs="仿宋_GB2312"/>
          <w:sz w:val="32"/>
          <w:szCs w:val="32"/>
        </w:rPr>
        <w:t>万元，占9</w:t>
      </w:r>
      <w:r>
        <w:rPr>
          <w:rFonts w:ascii="仿宋_GB2312" w:hAnsi="仿宋_GB2312" w:eastAsia="仿宋_GB2312" w:cs="仿宋_GB2312"/>
          <w:sz w:val="32"/>
          <w:szCs w:val="32"/>
        </w:rPr>
        <w:t>6.32</w:t>
      </w:r>
      <w:r>
        <w:rPr>
          <w:rFonts w:hint="eastAsia" w:ascii="仿宋_GB2312" w:hAnsi="仿宋_GB2312" w:eastAsia="仿宋_GB2312" w:cs="仿宋_GB2312"/>
          <w:sz w:val="32"/>
          <w:szCs w:val="32"/>
        </w:rPr>
        <w:t>%；住房保障支出1</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万元，占3</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autoSpaceDE w:val="0"/>
        <w:autoSpaceDN w:val="0"/>
        <w:adjustRightInd w:val="0"/>
        <w:spacing w:line="59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年度一般公共预算财政拨款支出年初预算为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万元，支出决算为</w:t>
      </w:r>
      <w:r>
        <w:rPr>
          <w:rFonts w:ascii="仿宋_GB2312" w:hAnsi="Times New Roman" w:eastAsia="仿宋_GB2312" w:cs="仿宋_GB2312"/>
          <w:sz w:val="32"/>
          <w:szCs w:val="32"/>
        </w:rPr>
        <w:t>51.42</w:t>
      </w:r>
      <w:r>
        <w:rPr>
          <w:rFonts w:hint="eastAsia" w:ascii="仿宋_GB2312" w:hAnsi="Times New Roman" w:eastAsia="仿宋_GB2312" w:cs="仿宋_GB2312"/>
          <w:sz w:val="32"/>
          <w:szCs w:val="32"/>
        </w:rPr>
        <w:t>万元，完成年初预算的</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sz w:val="32"/>
          <w:szCs w:val="32"/>
        </w:rPr>
        <w:t>自然资源海洋气象等支出</w:t>
      </w:r>
      <w:r>
        <w:rPr>
          <w:rFonts w:hint="eastAsia" w:ascii="仿宋_GB2312" w:hAnsi="仿宋_GB2312" w:eastAsia="仿宋_GB2312" w:cs="仿宋_GB2312"/>
          <w:b/>
          <w:bCs/>
          <w:sz w:val="32"/>
          <w:szCs w:val="32"/>
        </w:rPr>
        <w:t>（类）自然资源事务（款）事业运行（项）。</w:t>
      </w:r>
      <w:r>
        <w:rPr>
          <w:rFonts w:hint="eastAsia" w:ascii="仿宋_GB2312" w:hAnsi="仿宋_GB2312" w:eastAsia="仿宋_GB2312" w:cs="仿宋_GB2312"/>
          <w:sz w:val="32"/>
          <w:szCs w:val="32"/>
        </w:rPr>
        <w:t>年初预算为1</w:t>
      </w:r>
      <w:r>
        <w:rPr>
          <w:rFonts w:ascii="仿宋_GB2312" w:hAnsi="仿宋_GB2312" w:eastAsia="仿宋_GB2312" w:cs="仿宋_GB2312"/>
          <w:sz w:val="32"/>
          <w:szCs w:val="32"/>
        </w:rPr>
        <w:t>5.51</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5.51</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自然资源海洋气象等支出</w:t>
      </w:r>
      <w:r>
        <w:rPr>
          <w:rFonts w:hint="eastAsia" w:ascii="仿宋_GB2312" w:hAnsi="仿宋_GB2312" w:eastAsia="仿宋_GB2312" w:cs="仿宋_GB2312"/>
          <w:b/>
          <w:bCs/>
          <w:sz w:val="32"/>
          <w:szCs w:val="32"/>
        </w:rPr>
        <w:t>（类）自然资源事务（款）其他自然资源事务支出（项）。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34.02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34.02</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年初预算为1</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%。决算数与年初预算数存在差异的主要原因是：无。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2021年度一般公共预算财政拨款基本支出5</w:t>
      </w:r>
      <w:r>
        <w:rPr>
          <w:rFonts w:ascii="仿宋_GB2312" w:hAnsi="仿宋_GB2312" w:eastAsia="仿宋_GB2312" w:cs="仿宋_GB2312"/>
          <w:sz w:val="32"/>
          <w:szCs w:val="32"/>
        </w:rPr>
        <w:t>1.42</w:t>
      </w:r>
      <w:r>
        <w:rPr>
          <w:rFonts w:hint="eastAsia" w:ascii="仿宋_GB2312" w:hAnsi="仿宋_GB2312" w:eastAsia="仿宋_GB2312" w:cs="仿宋_GB2312"/>
          <w:sz w:val="32"/>
          <w:szCs w:val="32"/>
        </w:rPr>
        <w:t>万元。与上年度相比，增加5</w:t>
      </w:r>
      <w:r>
        <w:rPr>
          <w:rFonts w:ascii="仿宋_GB2312" w:hAnsi="仿宋_GB2312" w:eastAsia="仿宋_GB2312" w:cs="仿宋_GB2312"/>
          <w:sz w:val="32"/>
          <w:szCs w:val="32"/>
        </w:rPr>
        <w:t>1.42</w:t>
      </w:r>
      <w:r>
        <w:rPr>
          <w:rFonts w:hint="eastAsia" w:ascii="仿宋_GB2312" w:hAnsi="仿宋_GB2312" w:eastAsia="仿宋_GB2312" w:cs="仿宋_GB2312"/>
          <w:sz w:val="32"/>
          <w:szCs w:val="32"/>
        </w:rPr>
        <w:t>万元，增长0%，主要原因：</w:t>
      </w:r>
      <w:r>
        <w:rPr>
          <w:rFonts w:hint="eastAsia" w:ascii="仿宋_GB2312" w:hAnsi="Times New Roman" w:eastAsia="仿宋_GB2312" w:cs="仿宋_GB2312"/>
          <w:sz w:val="32"/>
          <w:szCs w:val="32"/>
        </w:rPr>
        <w:t>本单位是新增单位</w:t>
      </w:r>
      <w:r>
        <w:rPr>
          <w:rFonts w:hint="eastAsia" w:ascii="仿宋_GB2312" w:hAnsi="仿宋_GB2312" w:eastAsia="仿宋_GB2312" w:cs="仿宋_GB2312"/>
          <w:sz w:val="32"/>
          <w:szCs w:val="32"/>
        </w:rPr>
        <w:t>。其中：人员经费2</w:t>
      </w:r>
      <w:r>
        <w:rPr>
          <w:rFonts w:ascii="仿宋_GB2312" w:hAnsi="仿宋_GB2312" w:eastAsia="仿宋_GB2312" w:cs="仿宋_GB2312"/>
          <w:sz w:val="32"/>
          <w:szCs w:val="32"/>
        </w:rPr>
        <w:t>8.16</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2</w:t>
      </w:r>
      <w:r>
        <w:rPr>
          <w:rFonts w:ascii="仿宋_GB2312" w:hAnsi="仿宋_GB2312" w:eastAsia="仿宋_GB2312" w:cs="仿宋_GB2312"/>
          <w:sz w:val="32"/>
          <w:szCs w:val="32"/>
        </w:rPr>
        <w:t>3.26</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2021年度“三公”经费财政拨款支出预算为0万元，支出决算为0万元，完成预算的1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%。2021年度“三公”经费支出决算数与预算数存在差异的主要原因是：无。</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2021年度“三公”经费财政拨款支出决算中，因公出国（境）费支出决算0万元，完成预算的1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0%，占1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%；公务用车购置及运行费支出决算0万元，完成预算的1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0%，占0%；公务接待费支出决算0万元，完成预算的1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%，占0%。具体情况如下：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预算为0万元，支出决算为0万元，完成预算的1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%。决算数与预算数存在差异的主要原因是：无。全年因公出国（境）团组0个，累计0人次。开支内容包括：</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资源会议支出0万元，主要用于参加以下国际会议：无。</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出国谈判、工作磋商支出0万元，主要用于参加以下谈判和磋商：无。</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境外业务培训支出</w:t>
      </w:r>
      <w:r>
        <w:rPr>
          <w:rFonts w:hint="eastAsia"/>
          <w:sz w:val="32"/>
          <w:szCs w:val="32"/>
        </w:rPr>
        <w:t>0</w:t>
      </w:r>
      <w:r>
        <w:rPr>
          <w:rFonts w:hint="eastAsia" w:ascii="仿宋_GB2312" w:hAnsi="仿宋_GB2312" w:eastAsia="仿宋_GB2312" w:cs="仿宋_GB2312"/>
          <w:sz w:val="32"/>
          <w:szCs w:val="32"/>
        </w:rPr>
        <w:t>万元，主要用于：无。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预算为0万元，支出决算为0万元，完成预算的1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%。决算数与预算数存在差异的主要原因是：无。其中：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0万元。主要用于：无。2021年期末，部门开支财政拨款的公务用车保有量为0辆。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预算为0万元，支出决算为0万元，完成预算的×1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%。决算数与预算数存在差异的主要原因是：无。其中：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0万元。主要用于：无。2021年共接待国（境）外来访团组0个、来访外宾0人次（不包括陪同人员）。来访人员主要包括：无。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0万元。主要用于：无。2021年共接待国内来访团组0个、来宾0人次（不包括陪同人员）。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、政府性基金预算财政拨款支出决算情况说明</w:t>
      </w:r>
    </w:p>
    <w:p>
      <w:pPr>
        <w:widowControl/>
        <w:spacing w:line="590" w:lineRule="exact"/>
        <w:ind w:firstLine="640" w:firstLineChars="200"/>
        <w:rPr>
          <w:rFonts w:hint="eastAsia" w:ascii="仿宋_GB2312" w:eastAsia="仿宋_GB2312" w:cs="仿宋_GB2312" w:hAnsiTheme="majorEastAsia"/>
          <w:sz w:val="32"/>
          <w:szCs w:val="32"/>
        </w:rPr>
      </w:pPr>
      <w:r>
        <w:rPr>
          <w:rFonts w:hint="eastAsia" w:ascii="仿宋_GB2312" w:eastAsia="仿宋_GB2312" w:cs="仿宋_GB2312" w:hAnsiTheme="majorEastAsia"/>
          <w:sz w:val="32"/>
          <w:szCs w:val="32"/>
        </w:rPr>
        <w:t>2021年度政府性基金预算财政拨款支出年初预算为0万元，支出决算为0万元，完成年初预算的100%。主要用于：无，其中0项目年末结转和结余资金数额较大，主要原因：无。</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cs="仿宋_GB2312" w:hAnsiTheme="minorEastAsia"/>
          <w:sz w:val="32"/>
          <w:szCs w:val="32"/>
        </w:rPr>
        <w:t>说明：我部门没有政府性基金收入，也没有使用政府性基金安排的支出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初预算为0万元，支出决算为0万元，完成年初预算的0%。决算数与年初预算数存在差异的主要原因是：无。</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2021年度机关运行经费支出0万元，较上年度增加00万元，增长0%。增加的主要原因是：无。</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2021年度政府采购支出总额1.75万元，其中：政府采购货物支出1.75万元、政府采购工程支出0万元、政府采购服务支出0万元。授予中小企业合同金额1.75万元，占政府采购支出总额的1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0%，其中：授予小微企业合同金额1.75万元，占政府采购支出总额的1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2021年，我部门纳入预算绩效管理的支出总额为</w:t>
      </w:r>
      <w:r>
        <w:rPr>
          <w:rFonts w:ascii="仿宋_GB2312" w:hAnsi="仿宋_GB2312" w:eastAsia="仿宋_GB2312" w:cs="仿宋_GB2312"/>
          <w:sz w:val="32"/>
          <w:szCs w:val="32"/>
        </w:rPr>
        <w:t>51.42</w:t>
      </w:r>
      <w:r>
        <w:rPr>
          <w:rFonts w:hint="eastAsia" w:ascii="仿宋_GB2312" w:hAnsi="仿宋_GB2312" w:eastAsia="仿宋_GB2312" w:cs="仿宋_GB2312"/>
          <w:sz w:val="32"/>
          <w:szCs w:val="32"/>
        </w:rPr>
        <w:t>万元，其中人员经费支出</w:t>
      </w:r>
      <w:r>
        <w:rPr>
          <w:rFonts w:ascii="仿宋_GB2312" w:hAnsi="仿宋_GB2312" w:eastAsia="仿宋_GB2312" w:cs="仿宋_GB2312"/>
          <w:sz w:val="32"/>
          <w:szCs w:val="32"/>
        </w:rPr>
        <w:t>28.16</w:t>
      </w:r>
      <w:r>
        <w:rPr>
          <w:rFonts w:hint="eastAsia" w:ascii="仿宋_GB2312" w:hAnsi="仿宋_GB2312" w:eastAsia="仿宋_GB2312" w:cs="仿宋_GB2312"/>
          <w:sz w:val="32"/>
          <w:szCs w:val="32"/>
        </w:rPr>
        <w:t>万元，公用经费支出</w:t>
      </w:r>
      <w:r>
        <w:rPr>
          <w:rFonts w:ascii="仿宋_GB2312" w:hAnsi="仿宋_GB2312" w:eastAsia="仿宋_GB2312" w:cs="仿宋_GB2312"/>
          <w:sz w:val="32"/>
          <w:szCs w:val="32"/>
        </w:rPr>
        <w:t>23.26</w:t>
      </w:r>
      <w:r>
        <w:rPr>
          <w:rFonts w:hint="eastAsia" w:ascii="仿宋_GB2312" w:hAnsi="仿宋_GB2312" w:eastAsia="仿宋_GB2312" w:cs="仿宋_GB2312"/>
          <w:sz w:val="32"/>
          <w:szCs w:val="32"/>
        </w:rPr>
        <w:t>万元；支出项目共</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个，支出金额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万元。其中，进行项目绩效自评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个，自评金额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万元；纳入重点绩效评价（部门评价或财政评价）</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个，评价金额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2021年，我部门年度决算没有项目资金支出。</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2021年，我部门年度决算没有项目资金支出，没有开展重点绩效评价。</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duebL4BAABl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M9Iav6/AQAAZQMAAA4AAAAAAAAAAQAgAAAAHgEAAGRycy9lMm9Eb2MueG1sUEsFBgAA&#10;AAAGAAYAWQEAAE8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U+Yj+/AQAAZQMAAA4AAAAAAAAAAQAgAAAAHg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GNiMTI1MDdkYWY5MjIyN2U1ODgyNjEyMDZiMTEifQ=="/>
  </w:docVars>
  <w:rsids>
    <w:rsidRoot w:val="00CA25B9"/>
    <w:rsid w:val="00015D42"/>
    <w:rsid w:val="00034804"/>
    <w:rsid w:val="001A7AA7"/>
    <w:rsid w:val="002C5B27"/>
    <w:rsid w:val="00704CEA"/>
    <w:rsid w:val="0071072C"/>
    <w:rsid w:val="007269FA"/>
    <w:rsid w:val="00786C0B"/>
    <w:rsid w:val="00792D25"/>
    <w:rsid w:val="00795063"/>
    <w:rsid w:val="00962BDD"/>
    <w:rsid w:val="00BD65C9"/>
    <w:rsid w:val="00C52A9D"/>
    <w:rsid w:val="00C57E1E"/>
    <w:rsid w:val="00CA25B9"/>
    <w:rsid w:val="068A502B"/>
    <w:rsid w:val="068F68D0"/>
    <w:rsid w:val="09D83026"/>
    <w:rsid w:val="21DC286A"/>
    <w:rsid w:val="240E06F2"/>
    <w:rsid w:val="2750185C"/>
    <w:rsid w:val="2C250F60"/>
    <w:rsid w:val="2D5347F6"/>
    <w:rsid w:val="34BB2AED"/>
    <w:rsid w:val="3E4C25CA"/>
    <w:rsid w:val="4701142B"/>
    <w:rsid w:val="497A2108"/>
    <w:rsid w:val="4EFC09E4"/>
    <w:rsid w:val="587F2E51"/>
    <w:rsid w:val="6BBF0C36"/>
    <w:rsid w:val="6F57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7881</Words>
  <Characters>3140</Characters>
  <Lines>26</Lines>
  <Paragraphs>21</Paragraphs>
  <TotalTime>4</TotalTime>
  <ScaleCrop>false</ScaleCrop>
  <LinksUpToDate>false</LinksUpToDate>
  <CharactersWithSpaces>11000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2023-09-28T00:53:57Z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20A959CBB94441079D3376036CFD2CCE_13</vt:lpwstr>
  </property>
</Properties>
</file>