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47511">
      <w:pPr>
        <w:jc w:val="center"/>
        <w:outlineLvl w:val="9"/>
        <w:rPr>
          <w:rFonts w:hint="eastAsia" w:ascii="Times New Roman" w:hAnsi="Times New Roman" w:eastAsia="仿宋_GB2312" w:cs="Times New Roman"/>
          <w:b/>
          <w:bCs/>
          <w:sz w:val="44"/>
          <w:szCs w:val="44"/>
          <w:lang w:val="en-US" w:eastAsia="zh-CN"/>
        </w:rPr>
      </w:pPr>
    </w:p>
    <w:p w14:paraId="00A483D9">
      <w:pPr>
        <w:jc w:val="center"/>
        <w:outlineLvl w:val="9"/>
        <w:rPr>
          <w:rFonts w:hint="eastAsia" w:ascii="Times New Roman" w:hAnsi="Times New Roman" w:eastAsia="仿宋_GB2312" w:cs="Times New Roman"/>
          <w:b/>
          <w:bCs/>
          <w:sz w:val="44"/>
          <w:szCs w:val="44"/>
          <w:lang w:val="en-US" w:eastAsia="zh-CN"/>
        </w:rPr>
      </w:pPr>
    </w:p>
    <w:p w14:paraId="2F56958F">
      <w:pPr>
        <w:jc w:val="center"/>
        <w:outlineLvl w:val="9"/>
        <w:rPr>
          <w:rFonts w:hint="eastAsia" w:ascii="Times New Roman" w:hAnsi="Times New Roman" w:eastAsia="仿宋_GB2312" w:cs="Times New Roman"/>
          <w:b/>
          <w:bCs/>
          <w:sz w:val="44"/>
          <w:szCs w:val="44"/>
          <w:lang w:val="en-US" w:eastAsia="zh-CN"/>
        </w:rPr>
      </w:pPr>
    </w:p>
    <w:p w14:paraId="7528A791">
      <w:pPr>
        <w:ind w:left="0" w:leftChars="0" w:firstLine="0" w:firstLineChars="0"/>
        <w:jc w:val="center"/>
        <w:outlineLvl w:val="0"/>
        <w:rPr>
          <w:rFonts w:hint="eastAsia" w:ascii="宋体" w:hAnsi="宋体" w:eastAsia="宋体" w:cs="宋体"/>
          <w:b/>
          <w:bCs/>
          <w:sz w:val="44"/>
          <w:szCs w:val="44"/>
          <w:lang w:val="en-US" w:eastAsia="zh-CN"/>
        </w:rPr>
      </w:pPr>
      <w:bookmarkStart w:id="0" w:name="_Toc16345"/>
      <w:bookmarkStart w:id="1" w:name="_Toc24957"/>
      <w:bookmarkStart w:id="2" w:name="_Toc6969"/>
      <w:bookmarkStart w:id="3" w:name="_Toc1240"/>
      <w:r>
        <w:rPr>
          <w:rFonts w:hint="eastAsia" w:ascii="宋体" w:hAnsi="宋体" w:eastAsia="宋体" w:cs="宋体"/>
          <w:b/>
          <w:bCs/>
          <w:sz w:val="44"/>
          <w:szCs w:val="44"/>
          <w:lang w:val="en-US" w:eastAsia="zh-CN"/>
        </w:rPr>
        <w:t>义马市外国语小学南教学楼改造项目</w:t>
      </w:r>
      <w:bookmarkEnd w:id="0"/>
      <w:bookmarkEnd w:id="1"/>
    </w:p>
    <w:p w14:paraId="041596D7">
      <w:pPr>
        <w:ind w:left="0" w:leftChars="0" w:firstLine="0" w:firstLineChars="0"/>
        <w:jc w:val="center"/>
        <w:outlineLvl w:val="0"/>
        <w:rPr>
          <w:rFonts w:hint="eastAsia" w:ascii="宋体" w:hAnsi="宋体" w:eastAsia="宋体" w:cs="宋体"/>
          <w:b/>
          <w:bCs/>
          <w:sz w:val="44"/>
          <w:szCs w:val="44"/>
          <w:lang w:val="en-US" w:eastAsia="zh-CN"/>
        </w:rPr>
      </w:pPr>
      <w:bookmarkStart w:id="4" w:name="_Toc25322"/>
      <w:bookmarkStart w:id="5" w:name="_Toc28738"/>
      <w:r>
        <w:rPr>
          <w:rFonts w:hint="eastAsia" w:ascii="宋体" w:hAnsi="宋体" w:eastAsia="宋体" w:cs="宋体"/>
          <w:b/>
          <w:bCs/>
          <w:sz w:val="44"/>
          <w:szCs w:val="44"/>
          <w:lang w:val="en-US" w:eastAsia="zh-CN"/>
        </w:rPr>
        <w:t>财政支出绩效评价报告</w:t>
      </w:r>
      <w:bookmarkEnd w:id="2"/>
      <w:bookmarkEnd w:id="3"/>
      <w:bookmarkEnd w:id="4"/>
      <w:bookmarkEnd w:id="5"/>
    </w:p>
    <w:p w14:paraId="50DFD14D">
      <w:pPr>
        <w:keepNext w:val="0"/>
        <w:keepLines w:val="0"/>
        <w:pageBreakBefore w:val="0"/>
        <w:widowControl w:val="0"/>
        <w:kinsoku/>
        <w:wordWrap/>
        <w:overflowPunct/>
        <w:topLinePunct w:val="0"/>
        <w:autoSpaceDE/>
        <w:autoSpaceDN/>
        <w:bidi w:val="0"/>
        <w:adjustRightInd/>
        <w:snapToGrid/>
        <w:spacing w:before="156" w:beforeLines="50" w:after="157" w:afterLines="50"/>
        <w:ind w:firstLine="0" w:firstLineChars="0"/>
        <w:jc w:val="center"/>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光大审字[2024]第127号</w:t>
      </w:r>
    </w:p>
    <w:p w14:paraId="0EA33949">
      <w:pPr>
        <w:jc w:val="center"/>
        <w:outlineLvl w:val="9"/>
        <w:rPr>
          <w:rFonts w:hint="eastAsia" w:ascii="Times New Roman" w:hAnsi="Times New Roman" w:eastAsia="仿宋_GB2312" w:cs="Times New Roman"/>
          <w:b/>
          <w:bCs/>
          <w:sz w:val="44"/>
          <w:szCs w:val="44"/>
          <w:lang w:val="en-US" w:eastAsia="zh-CN"/>
        </w:rPr>
      </w:pPr>
    </w:p>
    <w:p w14:paraId="3E2BCA30">
      <w:pPr>
        <w:jc w:val="center"/>
        <w:outlineLvl w:val="9"/>
        <w:rPr>
          <w:rFonts w:hint="eastAsia" w:ascii="Times New Roman" w:hAnsi="Times New Roman" w:eastAsia="仿宋_GB2312" w:cs="Times New Roman"/>
          <w:b/>
          <w:bCs/>
          <w:sz w:val="44"/>
          <w:szCs w:val="44"/>
          <w:lang w:val="en-US" w:eastAsia="zh-CN"/>
        </w:rPr>
      </w:pPr>
    </w:p>
    <w:p w14:paraId="4E8EFA46">
      <w:pPr>
        <w:jc w:val="center"/>
        <w:outlineLvl w:val="9"/>
        <w:rPr>
          <w:rFonts w:hint="eastAsia" w:ascii="Times New Roman" w:hAnsi="Times New Roman" w:eastAsia="仿宋_GB2312" w:cs="Times New Roman"/>
          <w:b/>
          <w:bCs/>
          <w:sz w:val="44"/>
          <w:szCs w:val="44"/>
          <w:lang w:val="en-US" w:eastAsia="zh-CN"/>
        </w:rPr>
      </w:pPr>
    </w:p>
    <w:p w14:paraId="26A4BDA3">
      <w:pPr>
        <w:jc w:val="center"/>
        <w:outlineLvl w:val="9"/>
        <w:rPr>
          <w:rFonts w:hint="eastAsia" w:ascii="Times New Roman" w:hAnsi="Times New Roman" w:eastAsia="仿宋_GB2312" w:cs="Times New Roman"/>
          <w:b/>
          <w:bCs/>
          <w:sz w:val="44"/>
          <w:szCs w:val="44"/>
          <w:lang w:val="en-US" w:eastAsia="zh-CN"/>
        </w:rPr>
      </w:pPr>
    </w:p>
    <w:p w14:paraId="0CAE56CF">
      <w:pPr>
        <w:jc w:val="center"/>
        <w:outlineLvl w:val="9"/>
        <w:rPr>
          <w:rFonts w:hint="eastAsia" w:ascii="Times New Roman" w:hAnsi="Times New Roman" w:eastAsia="仿宋_GB2312" w:cs="Times New Roman"/>
          <w:b/>
          <w:bCs/>
          <w:sz w:val="44"/>
          <w:szCs w:val="44"/>
          <w:lang w:val="en-US" w:eastAsia="zh-CN"/>
        </w:rPr>
      </w:pPr>
    </w:p>
    <w:p w14:paraId="2B3B070D">
      <w:pPr>
        <w:jc w:val="center"/>
        <w:outlineLvl w:val="9"/>
        <w:rPr>
          <w:rFonts w:hint="eastAsia" w:ascii="Times New Roman" w:hAnsi="Times New Roman" w:eastAsia="仿宋_GB2312" w:cs="Times New Roman"/>
          <w:b/>
          <w:bCs/>
          <w:sz w:val="44"/>
          <w:szCs w:val="44"/>
          <w:lang w:val="en-US" w:eastAsia="zh-CN"/>
        </w:rPr>
      </w:pPr>
    </w:p>
    <w:p w14:paraId="52032A91">
      <w:pPr>
        <w:jc w:val="center"/>
        <w:outlineLvl w:val="9"/>
        <w:rPr>
          <w:rFonts w:hint="eastAsia" w:ascii="Times New Roman" w:hAnsi="Times New Roman" w:eastAsia="仿宋_GB2312" w:cs="Times New Roman"/>
          <w:b/>
          <w:bCs/>
          <w:sz w:val="44"/>
          <w:szCs w:val="44"/>
          <w:lang w:val="en-US" w:eastAsia="zh-CN"/>
        </w:rPr>
      </w:pPr>
    </w:p>
    <w:p w14:paraId="4319CD55">
      <w:pPr>
        <w:keepNext w:val="0"/>
        <w:keepLines w:val="0"/>
        <w:pageBreakBefore w:val="0"/>
        <w:widowControl w:val="0"/>
        <w:kinsoku/>
        <w:wordWrap/>
        <w:overflowPunct/>
        <w:topLinePunct w:val="0"/>
        <w:autoSpaceDE/>
        <w:autoSpaceDN/>
        <w:bidi w:val="0"/>
        <w:adjustRightInd w:val="0"/>
        <w:snapToGrid w:val="0"/>
        <w:spacing w:line="720" w:lineRule="exact"/>
        <w:ind w:left="2240" w:leftChars="261" w:hanging="1405" w:hangingChars="500"/>
        <w:jc w:val="left"/>
        <w:textAlignment w:val="auto"/>
        <w:outlineLvl w:val="0"/>
        <w:rPr>
          <w:rFonts w:hint="eastAsia" w:ascii="宋体" w:hAnsi="宋体" w:eastAsia="宋体" w:cs="宋体"/>
          <w:b/>
          <w:bCs w:val="0"/>
          <w:kern w:val="2"/>
          <w:sz w:val="28"/>
          <w:szCs w:val="28"/>
          <w:lang w:eastAsia="zh-CN"/>
        </w:rPr>
      </w:pPr>
      <w:bookmarkStart w:id="6" w:name="_Toc11944"/>
      <w:bookmarkStart w:id="7" w:name="_Toc32169"/>
      <w:bookmarkStart w:id="8" w:name="_Toc31501"/>
      <w:bookmarkStart w:id="9" w:name="_Toc27802"/>
      <w:bookmarkStart w:id="10" w:name="_Toc16206"/>
      <w:bookmarkStart w:id="11" w:name="_Toc63"/>
      <w:bookmarkStart w:id="12" w:name="_Toc12436"/>
      <w:bookmarkStart w:id="13" w:name="_Toc27157"/>
      <w:bookmarkStart w:id="14" w:name="_Toc26636"/>
      <w:bookmarkStart w:id="15" w:name="_Toc351"/>
      <w:bookmarkStart w:id="16" w:name="_Toc2203"/>
      <w:bookmarkStart w:id="17" w:name="_Toc3938"/>
      <w:bookmarkStart w:id="18" w:name="_Toc26641"/>
      <w:bookmarkStart w:id="19" w:name="_Toc21740"/>
      <w:bookmarkStart w:id="20" w:name="_Toc4792"/>
      <w:bookmarkStart w:id="21" w:name="_Toc22496"/>
      <w:bookmarkStart w:id="22" w:name="_Toc5676"/>
      <w:bookmarkStart w:id="23" w:name="_Toc14911"/>
      <w:bookmarkStart w:id="24" w:name="_Toc8473"/>
      <w:r>
        <w:rPr>
          <w:rFonts w:hint="eastAsia" w:ascii="宋体" w:hAnsi="宋体" w:eastAsia="宋体" w:cs="宋体"/>
          <w:b/>
          <w:bCs w:val="0"/>
          <w:kern w:val="2"/>
          <w:sz w:val="28"/>
          <w:szCs w:val="28"/>
          <w:lang w:eastAsia="zh-CN"/>
        </w:rPr>
        <w:t>项目名称：</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Start w:id="25" w:name="_Toc8875"/>
      <w:bookmarkStart w:id="26" w:name="_Toc18335"/>
      <w:bookmarkStart w:id="27" w:name="_Toc4847"/>
      <w:bookmarkStart w:id="28" w:name="_Toc7729"/>
      <w:r>
        <w:rPr>
          <w:rFonts w:hint="eastAsia" w:ascii="宋体" w:hAnsi="宋体" w:eastAsia="宋体" w:cs="宋体"/>
          <w:b/>
          <w:bCs w:val="0"/>
          <w:kern w:val="2"/>
          <w:sz w:val="28"/>
          <w:szCs w:val="28"/>
          <w:lang w:val="en-US" w:eastAsia="zh-CN"/>
        </w:rPr>
        <w:t>义马市外国语小学南教学楼改造项目</w:t>
      </w:r>
      <w:bookmarkEnd w:id="23"/>
      <w:bookmarkEnd w:id="24"/>
    </w:p>
    <w:bookmarkEnd w:id="25"/>
    <w:bookmarkEnd w:id="26"/>
    <w:bookmarkEnd w:id="27"/>
    <w:bookmarkEnd w:id="28"/>
    <w:p w14:paraId="4C5FB508">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29" w:name="_Toc13319"/>
      <w:bookmarkStart w:id="30" w:name="_Toc7187"/>
      <w:bookmarkStart w:id="31" w:name="_Toc3157"/>
      <w:bookmarkStart w:id="32" w:name="_Toc31221"/>
      <w:bookmarkStart w:id="33" w:name="_Toc27642"/>
      <w:bookmarkStart w:id="34" w:name="_Toc5667"/>
      <w:bookmarkStart w:id="35" w:name="_Toc11924"/>
      <w:bookmarkStart w:id="36" w:name="_Toc24702"/>
      <w:bookmarkStart w:id="37" w:name="_Toc3599"/>
      <w:bookmarkStart w:id="38" w:name="_Toc2651"/>
      <w:bookmarkStart w:id="39" w:name="_Toc32124"/>
      <w:bookmarkStart w:id="40" w:name="_Toc16586"/>
      <w:bookmarkStart w:id="41" w:name="_Toc31466"/>
      <w:bookmarkStart w:id="42" w:name="_Toc4253"/>
      <w:bookmarkStart w:id="43" w:name="_Toc31174"/>
      <w:bookmarkStart w:id="44" w:name="_Toc14336"/>
      <w:bookmarkStart w:id="45" w:name="_Toc25916"/>
      <w:bookmarkStart w:id="46" w:name="_Toc17814"/>
      <w:bookmarkStart w:id="47" w:name="_Toc18256"/>
      <w:r>
        <w:rPr>
          <w:rFonts w:hint="eastAsia" w:ascii="宋体" w:hAnsi="宋体" w:eastAsia="宋体" w:cs="宋体"/>
          <w:b/>
          <w:bCs w:val="0"/>
          <w:kern w:val="2"/>
          <w:sz w:val="28"/>
          <w:szCs w:val="28"/>
          <w:lang w:eastAsia="zh-CN"/>
        </w:rPr>
        <w:t>项目单位：</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Pr>
          <w:rFonts w:hint="eastAsia" w:ascii="宋体" w:hAnsi="宋体" w:eastAsia="宋体" w:cs="宋体"/>
          <w:b/>
          <w:bCs w:val="0"/>
          <w:kern w:val="2"/>
          <w:sz w:val="28"/>
          <w:szCs w:val="28"/>
          <w:lang w:val="en-US" w:eastAsia="zh-CN"/>
        </w:rPr>
        <w:t>义马市外国语小学</w:t>
      </w:r>
      <w:bookmarkEnd w:id="46"/>
      <w:bookmarkEnd w:id="47"/>
    </w:p>
    <w:p w14:paraId="319B5FC8">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48" w:name="_Toc22576"/>
      <w:bookmarkStart w:id="49" w:name="_Toc3982"/>
      <w:bookmarkStart w:id="50" w:name="_Toc15401"/>
      <w:bookmarkStart w:id="51" w:name="_Toc18459"/>
      <w:bookmarkStart w:id="52" w:name="_Toc15098"/>
      <w:bookmarkStart w:id="53" w:name="_Toc19947"/>
      <w:bookmarkStart w:id="54" w:name="_Toc5889"/>
      <w:bookmarkStart w:id="55" w:name="_Toc8579"/>
      <w:bookmarkStart w:id="56" w:name="_Toc26339"/>
      <w:bookmarkStart w:id="57" w:name="_Toc736"/>
      <w:bookmarkStart w:id="58" w:name="_Toc24027"/>
      <w:bookmarkStart w:id="59" w:name="_Toc1966"/>
      <w:bookmarkStart w:id="60" w:name="_Toc15047"/>
      <w:bookmarkStart w:id="61" w:name="_Toc16100"/>
      <w:bookmarkStart w:id="62" w:name="_Toc13580"/>
      <w:bookmarkStart w:id="63" w:name="_Toc18042"/>
      <w:bookmarkStart w:id="64" w:name="_Toc30482"/>
      <w:bookmarkStart w:id="65" w:name="_Toc10478"/>
      <w:bookmarkStart w:id="66" w:name="_Toc18400"/>
      <w:r>
        <w:rPr>
          <w:rFonts w:hint="eastAsia" w:ascii="宋体" w:hAnsi="宋体" w:eastAsia="宋体" w:cs="宋体"/>
          <w:b/>
          <w:bCs w:val="0"/>
          <w:kern w:val="2"/>
          <w:sz w:val="28"/>
          <w:szCs w:val="28"/>
          <w:lang w:eastAsia="zh-CN"/>
        </w:rPr>
        <w:t>委托单位：</w:t>
      </w:r>
      <w:bookmarkEnd w:id="48"/>
      <w:bookmarkEnd w:id="49"/>
      <w:bookmarkEnd w:id="50"/>
      <w:bookmarkEnd w:id="51"/>
      <w:bookmarkEnd w:id="52"/>
      <w:bookmarkEnd w:id="53"/>
      <w:bookmarkEnd w:id="54"/>
      <w:r>
        <w:rPr>
          <w:rFonts w:hint="eastAsia" w:ascii="宋体" w:hAnsi="宋体" w:eastAsia="宋体" w:cs="宋体"/>
          <w:b/>
          <w:bCs w:val="0"/>
          <w:kern w:val="2"/>
          <w:sz w:val="28"/>
          <w:szCs w:val="28"/>
          <w:lang w:eastAsia="zh-CN"/>
        </w:rPr>
        <w:t>义马市财政局</w:t>
      </w:r>
      <w:bookmarkEnd w:id="55"/>
      <w:bookmarkEnd w:id="56"/>
      <w:bookmarkEnd w:id="57"/>
      <w:bookmarkEnd w:id="58"/>
      <w:bookmarkEnd w:id="59"/>
      <w:bookmarkEnd w:id="60"/>
      <w:bookmarkEnd w:id="61"/>
      <w:bookmarkEnd w:id="62"/>
      <w:bookmarkEnd w:id="63"/>
      <w:bookmarkEnd w:id="64"/>
      <w:bookmarkEnd w:id="65"/>
      <w:bookmarkEnd w:id="66"/>
    </w:p>
    <w:p w14:paraId="441C7D2C">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67" w:name="_Toc17270"/>
      <w:bookmarkStart w:id="68" w:name="_Toc5979"/>
      <w:bookmarkStart w:id="69" w:name="_Toc16816"/>
      <w:bookmarkStart w:id="70" w:name="_Toc19404"/>
      <w:bookmarkStart w:id="71" w:name="_Toc13922"/>
      <w:bookmarkStart w:id="72" w:name="_Toc892"/>
      <w:bookmarkStart w:id="73" w:name="_Toc16276"/>
      <w:bookmarkStart w:id="74" w:name="_Toc7078"/>
      <w:bookmarkStart w:id="75" w:name="_Toc3246"/>
      <w:bookmarkStart w:id="76" w:name="_Toc17454"/>
      <w:bookmarkStart w:id="77" w:name="_Toc10141"/>
      <w:bookmarkStart w:id="78" w:name="_Toc32515"/>
      <w:bookmarkStart w:id="79" w:name="_Toc31004"/>
      <w:bookmarkStart w:id="80" w:name="_Toc20975"/>
      <w:bookmarkStart w:id="81" w:name="_Toc20128"/>
      <w:bookmarkStart w:id="82" w:name="_Toc7438"/>
      <w:bookmarkStart w:id="83" w:name="_Toc1284"/>
      <w:bookmarkStart w:id="84" w:name="_Toc14453"/>
      <w:bookmarkStart w:id="85" w:name="_Toc29883"/>
      <w:r>
        <w:rPr>
          <w:rFonts w:hint="eastAsia" w:ascii="宋体" w:hAnsi="宋体" w:eastAsia="宋体" w:cs="宋体"/>
          <w:b/>
          <w:bCs w:val="0"/>
          <w:kern w:val="2"/>
          <w:sz w:val="28"/>
          <w:szCs w:val="28"/>
          <w:lang w:eastAsia="zh-CN"/>
        </w:rPr>
        <w:t>评价机构：河南</w:t>
      </w:r>
      <w:r>
        <w:rPr>
          <w:rFonts w:hint="eastAsia" w:ascii="宋体" w:hAnsi="宋体" w:eastAsia="宋体" w:cs="宋体"/>
          <w:b/>
          <w:bCs w:val="0"/>
          <w:kern w:val="2"/>
          <w:sz w:val="28"/>
          <w:szCs w:val="28"/>
          <w:lang w:val="en-US" w:eastAsia="zh-CN"/>
        </w:rPr>
        <w:t>光大会计师事务所有限公司</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197A1CE1">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720" w:num="1"/>
          <w:docGrid w:type="lines" w:linePitch="312" w:charSpace="0"/>
        </w:sectPr>
      </w:pPr>
      <w:bookmarkStart w:id="86" w:name="_Toc27535"/>
      <w:bookmarkStart w:id="87" w:name="_Toc9596"/>
      <w:bookmarkStart w:id="88" w:name="_Toc1519"/>
      <w:bookmarkStart w:id="89" w:name="_Toc5428"/>
      <w:bookmarkStart w:id="90" w:name="_Toc5532"/>
      <w:bookmarkStart w:id="91" w:name="_Toc1077"/>
      <w:bookmarkStart w:id="92" w:name="_Toc6655"/>
      <w:bookmarkStart w:id="93" w:name="_Toc27049"/>
      <w:bookmarkStart w:id="94" w:name="_Toc19978"/>
      <w:r>
        <w:rPr>
          <w:rFonts w:hint="eastAsia" w:ascii="宋体" w:hAnsi="宋体" w:eastAsia="宋体" w:cs="宋体"/>
          <w:b/>
          <w:bCs w:val="0"/>
          <w:kern w:val="2"/>
          <w:sz w:val="28"/>
          <w:szCs w:val="28"/>
          <w:lang w:eastAsia="zh-CN"/>
        </w:rPr>
        <w:t>编制时间：</w:t>
      </w:r>
      <w:r>
        <w:rPr>
          <w:rFonts w:hint="eastAsia" w:ascii="宋体" w:hAnsi="宋体" w:eastAsia="宋体" w:cs="宋体"/>
          <w:b/>
          <w:bCs w:val="0"/>
          <w:kern w:val="2"/>
          <w:sz w:val="28"/>
          <w:szCs w:val="28"/>
          <w:lang w:val="en-US" w:eastAsia="zh-CN"/>
        </w:rPr>
        <w:t>2024</w:t>
      </w:r>
      <w:r>
        <w:rPr>
          <w:rFonts w:hint="eastAsia" w:ascii="宋体" w:hAnsi="宋体" w:eastAsia="宋体" w:cs="宋体"/>
          <w:b/>
          <w:bCs w:val="0"/>
          <w:kern w:val="2"/>
          <w:sz w:val="28"/>
          <w:szCs w:val="28"/>
          <w:lang w:eastAsia="zh-CN"/>
        </w:rPr>
        <w:t>年</w:t>
      </w:r>
      <w:r>
        <w:rPr>
          <w:rFonts w:hint="eastAsia" w:ascii="宋体" w:hAnsi="宋体" w:eastAsia="宋体" w:cs="宋体"/>
          <w:b/>
          <w:bCs w:val="0"/>
          <w:kern w:val="2"/>
          <w:sz w:val="28"/>
          <w:szCs w:val="28"/>
          <w:lang w:val="en-US" w:eastAsia="zh-CN"/>
        </w:rPr>
        <w:t>11</w:t>
      </w:r>
      <w:r>
        <w:rPr>
          <w:rFonts w:hint="eastAsia" w:ascii="宋体" w:hAnsi="宋体" w:eastAsia="宋体" w:cs="宋体"/>
          <w:b/>
          <w:bCs w:val="0"/>
          <w:kern w:val="2"/>
          <w:sz w:val="28"/>
          <w:szCs w:val="28"/>
          <w:lang w:eastAsia="zh-CN"/>
        </w:rPr>
        <w:t>月</w:t>
      </w:r>
      <w:bookmarkEnd w:id="86"/>
      <w:bookmarkEnd w:id="87"/>
      <w:bookmarkEnd w:id="88"/>
      <w:bookmarkEnd w:id="89"/>
      <w:bookmarkEnd w:id="90"/>
      <w:bookmarkEnd w:id="91"/>
      <w:bookmarkEnd w:id="92"/>
      <w:bookmarkEnd w:id="93"/>
      <w:bookmarkEnd w:id="94"/>
    </w:p>
    <w:p w14:paraId="0C29C859">
      <w:pPr>
        <w:spacing w:before="0" w:beforeLines="0" w:after="0" w:afterLines="0" w:line="240" w:lineRule="auto"/>
        <w:ind w:left="0" w:leftChars="0" w:right="0" w:rightChars="0" w:firstLine="0" w:firstLineChars="0"/>
        <w:jc w:val="center"/>
        <w:rPr>
          <w:rFonts w:hint="eastAsia" w:ascii="黑体" w:hAnsi="黑体" w:eastAsia="黑体" w:cs="黑体"/>
          <w:sz w:val="28"/>
          <w:szCs w:val="28"/>
        </w:rPr>
      </w:pPr>
      <w:r>
        <w:rPr>
          <w:rFonts w:hint="eastAsia" w:ascii="黑体" w:hAnsi="黑体" w:eastAsia="黑体" w:cs="黑体"/>
          <w:sz w:val="28"/>
          <w:szCs w:val="28"/>
        </w:rPr>
        <w:t>目录</w:t>
      </w:r>
    </w:p>
    <w:p w14:paraId="1E41376F">
      <w:pPr>
        <w:pStyle w:val="33"/>
        <w:tabs>
          <w:tab w:val="right" w:leader="dot" w:pos="8306"/>
        </w:tabs>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TOC \o "1-1" \h \u </w:instrText>
      </w:r>
      <w:r>
        <w:rPr>
          <w:rFonts w:hint="eastAsia" w:ascii="黑体" w:hAnsi="黑体" w:eastAsia="黑体" w:cs="黑体"/>
          <w:bCs/>
          <w:sz w:val="28"/>
          <w:szCs w:val="28"/>
          <w:lang w:val="en-US" w:eastAsia="zh-CN"/>
        </w:rPr>
        <w:fldChar w:fldCharType="separate"/>
      </w:r>
    </w:p>
    <w:p w14:paraId="75C6C557">
      <w:pPr>
        <w:pStyle w:val="33"/>
        <w:tabs>
          <w:tab w:val="right" w:leader="dot" w:pos="8306"/>
        </w:tabs>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_Toc27643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rPr>
        <w:t>一、项目基本情况</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_Toc27643 \h </w:instrText>
      </w:r>
      <w:r>
        <w:rPr>
          <w:rFonts w:hint="eastAsia" w:ascii="黑体" w:hAnsi="黑体" w:eastAsia="黑体" w:cs="黑体"/>
          <w:sz w:val="28"/>
          <w:szCs w:val="28"/>
        </w:rPr>
        <w:fldChar w:fldCharType="separate"/>
      </w:r>
      <w:r>
        <w:rPr>
          <w:rFonts w:hint="eastAsia" w:ascii="黑体" w:hAnsi="黑体" w:eastAsia="黑体" w:cs="黑体"/>
          <w:sz w:val="28"/>
          <w:szCs w:val="28"/>
        </w:rPr>
        <w:t>1</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5D090F37">
      <w:pPr>
        <w:pStyle w:val="33"/>
        <w:tabs>
          <w:tab w:val="right" w:leader="dot" w:pos="8306"/>
        </w:tabs>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_Toc6651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rPr>
        <w:t>二、综合评价情况与评价结论</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_Toc6651 \h </w:instrText>
      </w:r>
      <w:r>
        <w:rPr>
          <w:rFonts w:hint="eastAsia" w:ascii="黑体" w:hAnsi="黑体" w:eastAsia="黑体" w:cs="黑体"/>
          <w:sz w:val="28"/>
          <w:szCs w:val="28"/>
        </w:rPr>
        <w:fldChar w:fldCharType="separate"/>
      </w:r>
      <w:r>
        <w:rPr>
          <w:rFonts w:hint="eastAsia" w:ascii="黑体" w:hAnsi="黑体" w:eastAsia="黑体" w:cs="黑体"/>
          <w:sz w:val="28"/>
          <w:szCs w:val="28"/>
        </w:rPr>
        <w:t>3</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749EE4C8">
      <w:pPr>
        <w:pStyle w:val="33"/>
        <w:tabs>
          <w:tab w:val="right" w:leader="dot" w:pos="8306"/>
        </w:tabs>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_Toc23930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highlight w:val="none"/>
          <w:lang w:val="en-US" w:eastAsia="zh-CN"/>
        </w:rPr>
        <w:t>三</w:t>
      </w:r>
      <w:r>
        <w:rPr>
          <w:rFonts w:hint="eastAsia" w:ascii="黑体" w:hAnsi="黑体" w:eastAsia="黑体" w:cs="黑体"/>
          <w:sz w:val="28"/>
          <w:szCs w:val="28"/>
          <w:highlight w:val="none"/>
        </w:rPr>
        <w:t>、绩效评价分析</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_Toc23930 \h </w:instrText>
      </w:r>
      <w:r>
        <w:rPr>
          <w:rFonts w:hint="eastAsia" w:ascii="黑体" w:hAnsi="黑体" w:eastAsia="黑体" w:cs="黑体"/>
          <w:sz w:val="28"/>
          <w:szCs w:val="28"/>
        </w:rPr>
        <w:fldChar w:fldCharType="separate"/>
      </w:r>
      <w:r>
        <w:rPr>
          <w:rFonts w:hint="eastAsia" w:ascii="黑体" w:hAnsi="黑体" w:eastAsia="黑体" w:cs="黑体"/>
          <w:sz w:val="28"/>
          <w:szCs w:val="28"/>
        </w:rPr>
        <w:t>4</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362D0F3A">
      <w:pPr>
        <w:pStyle w:val="33"/>
        <w:tabs>
          <w:tab w:val="right" w:leader="dot" w:pos="8306"/>
        </w:tabs>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_Toc24579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lang w:val="en-US" w:eastAsia="zh-CN"/>
        </w:rPr>
        <w:t>四</w:t>
      </w:r>
      <w:r>
        <w:rPr>
          <w:rFonts w:hint="eastAsia" w:ascii="黑体" w:hAnsi="黑体" w:eastAsia="黑体" w:cs="黑体"/>
          <w:sz w:val="28"/>
          <w:szCs w:val="28"/>
        </w:rPr>
        <w:t>、主要经验及做法</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_Toc24579 \h </w:instrText>
      </w:r>
      <w:r>
        <w:rPr>
          <w:rFonts w:hint="eastAsia" w:ascii="黑体" w:hAnsi="黑体" w:eastAsia="黑体" w:cs="黑体"/>
          <w:sz w:val="28"/>
          <w:szCs w:val="28"/>
        </w:rPr>
        <w:fldChar w:fldCharType="separate"/>
      </w:r>
      <w:r>
        <w:rPr>
          <w:rFonts w:hint="eastAsia" w:ascii="黑体" w:hAnsi="黑体" w:eastAsia="黑体" w:cs="黑体"/>
          <w:sz w:val="28"/>
          <w:szCs w:val="28"/>
        </w:rPr>
        <w:t>5</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1400A087">
      <w:pPr>
        <w:pStyle w:val="33"/>
        <w:tabs>
          <w:tab w:val="right" w:leader="dot" w:pos="8306"/>
        </w:tabs>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_Toc24524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lang w:val="en-US" w:eastAsia="zh-CN"/>
        </w:rPr>
        <w:t>五</w:t>
      </w:r>
      <w:r>
        <w:rPr>
          <w:rFonts w:hint="eastAsia" w:ascii="黑体" w:hAnsi="黑体" w:eastAsia="黑体" w:cs="黑体"/>
          <w:sz w:val="28"/>
          <w:szCs w:val="28"/>
        </w:rPr>
        <w:t>、存在问题和建议</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_Toc24524 \h </w:instrText>
      </w:r>
      <w:r>
        <w:rPr>
          <w:rFonts w:hint="eastAsia" w:ascii="黑体" w:hAnsi="黑体" w:eastAsia="黑体" w:cs="黑体"/>
          <w:sz w:val="28"/>
          <w:szCs w:val="28"/>
        </w:rPr>
        <w:fldChar w:fldCharType="separate"/>
      </w:r>
      <w:r>
        <w:rPr>
          <w:rFonts w:hint="eastAsia" w:ascii="黑体" w:hAnsi="黑体" w:eastAsia="黑体" w:cs="黑体"/>
          <w:sz w:val="28"/>
          <w:szCs w:val="28"/>
        </w:rPr>
        <w:t>6</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01F96C0F">
      <w:pPr>
        <w:pStyle w:val="33"/>
        <w:tabs>
          <w:tab w:val="right" w:leader="dot" w:pos="8306"/>
        </w:tabs>
        <w:rPr>
          <w:rFonts w:hint="default" w:ascii="黑体" w:hAnsi="黑体" w:eastAsia="黑体" w:cs="黑体"/>
          <w:sz w:val="28"/>
          <w:szCs w:val="28"/>
          <w:lang w:val="en-US"/>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_Toc3060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rPr>
        <w:t>附件：义马市外国语小学南教学楼改造项目综合评分表</w:t>
      </w:r>
      <w:r>
        <w:rPr>
          <w:rFonts w:hint="eastAsia" w:ascii="黑体" w:hAnsi="黑体" w:eastAsia="黑体" w:cs="黑体"/>
          <w:sz w:val="28"/>
          <w:szCs w:val="28"/>
        </w:rPr>
        <w:tab/>
      </w:r>
      <w:r>
        <w:rPr>
          <w:rFonts w:hint="eastAsia" w:ascii="黑体" w:hAnsi="黑体" w:eastAsia="黑体" w:cs="黑体"/>
          <w:sz w:val="28"/>
          <w:szCs w:val="28"/>
          <w:lang w:val="en-US" w:eastAsia="zh-CN"/>
        </w:rPr>
        <w:t>9</w:t>
      </w:r>
      <w:r>
        <w:rPr>
          <w:rFonts w:hint="eastAsia" w:ascii="黑体" w:hAnsi="黑体" w:eastAsia="黑体" w:cs="黑体"/>
          <w:bCs/>
          <w:sz w:val="28"/>
          <w:szCs w:val="28"/>
          <w:lang w:val="en-US" w:eastAsia="zh-CN"/>
        </w:rPr>
        <w:fldChar w:fldCharType="end"/>
      </w:r>
    </w:p>
    <w:p w14:paraId="1344028F">
      <w:pPr>
        <w:ind w:firstLine="0" w:firstLineChars="0"/>
        <w:jc w:val="center"/>
        <w:outlineLvl w:val="9"/>
        <w:rPr>
          <w:rFonts w:hint="eastAsia" w:ascii="Times New Roman" w:hAnsi="Times New Roman" w:eastAsia="仿宋_GB2312" w:cs="Times New Roman"/>
          <w:bCs/>
          <w:szCs w:val="44"/>
          <w:lang w:val="en-US" w:eastAsia="zh-CN"/>
        </w:rPr>
      </w:pPr>
      <w:r>
        <w:rPr>
          <w:rFonts w:hint="eastAsia" w:ascii="黑体" w:hAnsi="黑体" w:eastAsia="黑体" w:cs="黑体"/>
          <w:bCs/>
          <w:sz w:val="28"/>
          <w:szCs w:val="28"/>
          <w:lang w:val="en-US" w:eastAsia="zh-CN"/>
        </w:rPr>
        <w:fldChar w:fldCharType="end"/>
      </w:r>
    </w:p>
    <w:p w14:paraId="737BD9AB">
      <w:pPr>
        <w:ind w:firstLine="0" w:firstLineChars="0"/>
        <w:jc w:val="center"/>
        <w:outlineLvl w:val="9"/>
        <w:rPr>
          <w:rFonts w:hint="eastAsia" w:ascii="Times New Roman" w:hAnsi="Times New Roman" w:eastAsia="仿宋_GB2312" w:cs="Times New Roman"/>
          <w:bCs/>
          <w:szCs w:val="44"/>
          <w:lang w:val="en-US" w:eastAsia="zh-CN"/>
        </w:rPr>
      </w:pPr>
    </w:p>
    <w:p w14:paraId="3B70EC62">
      <w:pPr>
        <w:ind w:firstLine="0" w:firstLineChars="0"/>
        <w:jc w:val="center"/>
        <w:outlineLvl w:val="9"/>
        <w:rPr>
          <w:rFonts w:hint="eastAsia" w:ascii="Times New Roman" w:hAnsi="Times New Roman" w:eastAsia="仿宋_GB2312" w:cs="Times New Roman"/>
          <w:bCs/>
          <w:szCs w:val="44"/>
          <w:lang w:val="en-US" w:eastAsia="zh-CN"/>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64" w:gutter="0"/>
          <w:pgNumType w:fmt="decimal"/>
          <w:cols w:space="720" w:num="1"/>
          <w:docGrid w:type="lines" w:linePitch="312" w:charSpace="0"/>
        </w:sectPr>
      </w:pPr>
    </w:p>
    <w:p w14:paraId="1D6F78EF">
      <w:pPr>
        <w:ind w:firstLine="0" w:firstLineChars="0"/>
        <w:jc w:val="center"/>
        <w:outlineLvl w:val="0"/>
        <w:rPr>
          <w:rFonts w:hint="eastAsia" w:ascii="Times New Roman" w:hAnsi="Times New Roman" w:eastAsia="仿宋_GB2312" w:cs="Times New Roman"/>
          <w:b/>
          <w:bCs/>
          <w:sz w:val="44"/>
          <w:szCs w:val="44"/>
          <w:lang w:val="en-US" w:eastAsia="zh-CN"/>
        </w:rPr>
      </w:pPr>
      <w:bookmarkStart w:id="95" w:name="_Toc17729"/>
      <w:bookmarkStart w:id="96" w:name="_Toc16978"/>
      <w:r>
        <w:rPr>
          <w:rFonts w:hint="eastAsia" w:ascii="Times New Roman" w:hAnsi="Times New Roman" w:eastAsia="仿宋_GB2312" w:cs="Times New Roman"/>
          <w:b/>
          <w:bCs/>
          <w:sz w:val="44"/>
          <w:szCs w:val="44"/>
          <w:lang w:val="en-US" w:eastAsia="zh-CN"/>
        </w:rPr>
        <w:t>义马市外国语小学南教学楼改造项目</w:t>
      </w:r>
      <w:bookmarkEnd w:id="95"/>
      <w:bookmarkEnd w:id="96"/>
    </w:p>
    <w:p w14:paraId="7338D552">
      <w:pPr>
        <w:ind w:firstLine="0" w:firstLineChars="0"/>
        <w:jc w:val="center"/>
        <w:outlineLvl w:val="0"/>
        <w:rPr>
          <w:rFonts w:hint="eastAsia" w:ascii="Times New Roman" w:hAnsi="Times New Roman" w:eastAsia="仿宋_GB2312" w:cs="Times New Roman"/>
          <w:b/>
          <w:bCs/>
          <w:sz w:val="44"/>
          <w:szCs w:val="44"/>
          <w:lang w:val="en-US" w:eastAsia="zh-CN"/>
        </w:rPr>
      </w:pPr>
      <w:bookmarkStart w:id="97" w:name="_Toc17509"/>
      <w:bookmarkStart w:id="98" w:name="_Toc17"/>
      <w:r>
        <w:rPr>
          <w:rFonts w:hint="eastAsia" w:ascii="Times New Roman" w:hAnsi="Times New Roman" w:eastAsia="仿宋_GB2312" w:cs="Times New Roman"/>
          <w:b/>
          <w:bCs/>
          <w:sz w:val="44"/>
          <w:szCs w:val="44"/>
          <w:lang w:val="en-US" w:eastAsia="zh-CN"/>
        </w:rPr>
        <w:t>财政支出绩效评价报告</w:t>
      </w:r>
      <w:bookmarkEnd w:id="97"/>
      <w:bookmarkEnd w:id="98"/>
    </w:p>
    <w:p w14:paraId="01540E06">
      <w:pPr>
        <w:keepNext w:val="0"/>
        <w:keepLines w:val="0"/>
        <w:pageBreakBefore w:val="0"/>
        <w:widowControl w:val="0"/>
        <w:kinsoku/>
        <w:wordWrap/>
        <w:overflowPunct/>
        <w:topLinePunct w:val="0"/>
        <w:autoSpaceDE/>
        <w:autoSpaceDN/>
        <w:bidi w:val="0"/>
        <w:adjustRightInd/>
        <w:snapToGrid/>
        <w:spacing w:beforeLines="50" w:after="157" w:afterLines="50"/>
        <w:ind w:left="0" w:firstLine="0" w:firstLineChars="0"/>
        <w:jc w:val="center"/>
        <w:textAlignment w:val="auto"/>
        <w:outlineLvl w:val="9"/>
        <w:rPr>
          <w:highlight w:val="yellow"/>
        </w:rPr>
      </w:pPr>
      <w:r>
        <w:rPr>
          <w:szCs w:val="32"/>
        </w:rPr>
        <w:t>光大审字</w:t>
      </w:r>
      <w:r>
        <w:rPr>
          <w:rFonts w:hint="eastAsia" w:ascii="仿宋_GB2312" w:hAnsi="仿宋_GB2312" w:cs="仿宋_GB2312"/>
          <w:szCs w:val="32"/>
        </w:rPr>
        <w:t>[</w:t>
      </w:r>
      <w:r>
        <w:rPr>
          <w:szCs w:val="32"/>
        </w:rPr>
        <w:t>202</w:t>
      </w:r>
      <w:r>
        <w:rPr>
          <w:rFonts w:hint="eastAsia"/>
          <w:szCs w:val="32"/>
          <w:lang w:val="en-US" w:eastAsia="zh-CN"/>
        </w:rPr>
        <w:t>4</w:t>
      </w:r>
      <w:r>
        <w:rPr>
          <w:rFonts w:hint="eastAsia" w:ascii="仿宋_GB2312" w:hAnsi="仿宋_GB2312" w:cs="仿宋_GB2312"/>
          <w:szCs w:val="32"/>
        </w:rPr>
        <w:t>]</w:t>
      </w:r>
      <w:r>
        <w:rPr>
          <w:szCs w:val="32"/>
        </w:rPr>
        <w:t>第</w:t>
      </w:r>
      <w:r>
        <w:rPr>
          <w:rFonts w:hint="eastAsia"/>
          <w:szCs w:val="32"/>
          <w:lang w:val="en-US" w:eastAsia="zh-CN"/>
        </w:rPr>
        <w:t>127</w:t>
      </w:r>
      <w:r>
        <w:rPr>
          <w:szCs w:val="32"/>
        </w:rPr>
        <w:t>号</w:t>
      </w:r>
    </w:p>
    <w:p w14:paraId="28452FB6">
      <w:pPr>
        <w:pStyle w:val="2"/>
        <w:keepNext w:val="0"/>
        <w:keepLines w:val="0"/>
        <w:pageBreakBefore w:val="0"/>
        <w:kinsoku/>
        <w:wordWrap/>
        <w:overflowPunct/>
        <w:topLinePunct w:val="0"/>
        <w:autoSpaceDE/>
        <w:autoSpaceDN/>
        <w:bidi w:val="0"/>
        <w:adjustRightInd w:val="0"/>
        <w:snapToGrid w:val="0"/>
        <w:spacing w:line="580" w:lineRule="exact"/>
        <w:ind w:left="0" w:leftChars="0" w:firstLine="0" w:firstLineChars="0"/>
        <w:textAlignment w:val="auto"/>
        <w:rPr>
          <w:color w:val="auto"/>
        </w:rPr>
      </w:pPr>
      <w:bookmarkStart w:id="99" w:name="_Toc27643"/>
      <w:bookmarkStart w:id="100" w:name="_Toc15570"/>
      <w:r>
        <w:rPr>
          <w:color w:val="auto"/>
        </w:rPr>
        <w:t>一、项目基本情况</w:t>
      </w:r>
      <w:bookmarkEnd w:id="99"/>
      <w:bookmarkEnd w:id="100"/>
    </w:p>
    <w:p w14:paraId="6AC82F11">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（一）项目概况</w:t>
      </w:r>
    </w:p>
    <w:p w14:paraId="4ACE6C30">
      <w:pPr>
        <w:keepNext w:val="0"/>
        <w:keepLines w:val="0"/>
        <w:pageBreakBefore w:val="0"/>
        <w:widowControl w:val="0"/>
        <w:kinsoku/>
        <w:wordWrap/>
        <w:overflowPunct/>
        <w:topLinePunct w:val="0"/>
        <w:autoSpaceDE/>
        <w:autoSpaceDN/>
        <w:bidi w:val="0"/>
        <w:spacing w:line="580" w:lineRule="exact"/>
        <w:ind w:firstLine="640"/>
        <w:jc w:val="left"/>
        <w:textAlignment w:val="auto"/>
        <w:rPr>
          <w:color w:val="auto"/>
          <w:highlight w:val="none"/>
        </w:rPr>
      </w:pPr>
      <w:r>
        <w:rPr>
          <w:rFonts w:hint="eastAsia"/>
          <w:color w:val="auto"/>
        </w:rPr>
        <w:t>义马市外国语小学南教学楼始建于1993年，地上三层，总建筑面积2885平方米</w:t>
      </w:r>
      <w:r>
        <w:rPr>
          <w:rFonts w:hint="eastAsia"/>
          <w:color w:val="auto"/>
          <w:lang w:eastAsia="zh-CN"/>
        </w:rPr>
        <w:t>，</w:t>
      </w:r>
      <w:r>
        <w:rPr>
          <w:rFonts w:hint="eastAsia"/>
          <w:color w:val="auto"/>
        </w:rPr>
        <w:t>新教学楼投入使用后，南教学楼十多年</w:t>
      </w:r>
      <w:r>
        <w:rPr>
          <w:rFonts w:hint="eastAsia"/>
          <w:color w:val="auto"/>
          <w:lang w:eastAsia="zh-CN"/>
        </w:rPr>
        <w:t>来</w:t>
      </w:r>
      <w:r>
        <w:rPr>
          <w:rFonts w:hint="eastAsia"/>
          <w:color w:val="auto"/>
        </w:rPr>
        <w:t>一直停用，屋顶年久失修，严重漏水，导致内外墙皮脱落</w:t>
      </w:r>
      <w:r>
        <w:rPr>
          <w:rFonts w:hint="eastAsia"/>
          <w:color w:val="auto"/>
          <w:lang w:eastAsia="zh-CN"/>
        </w:rPr>
        <w:t>、</w:t>
      </w:r>
      <w:r>
        <w:rPr>
          <w:rFonts w:hint="eastAsia"/>
          <w:color w:val="auto"/>
        </w:rPr>
        <w:t>地面鼓包，水、电、暖设施无法使用，存在安全隐患</w:t>
      </w:r>
      <w:r>
        <w:rPr>
          <w:rFonts w:hint="eastAsia"/>
          <w:color w:val="auto"/>
          <w:lang w:eastAsia="zh-CN"/>
        </w:rPr>
        <w:t>。按照义马市教育体育局（以下简称“市教体局”）安排，经义马市外国语小学领导班子研究，决定对南教学楼进行维修改造，</w:t>
      </w:r>
      <w:r>
        <w:rPr>
          <w:rFonts w:hint="default"/>
          <w:color w:val="auto"/>
          <w:lang w:val="zh-CN" w:eastAsia="zh-CN"/>
        </w:rPr>
        <w:t>消除安全隐患后，改造为集功能室、学生课后延时服务、学生午休、就餐等于一体的综合性服务楼</w:t>
      </w:r>
      <w:r>
        <w:rPr>
          <w:rFonts w:hint="eastAsia"/>
          <w:color w:val="auto"/>
          <w:lang w:eastAsia="zh-CN"/>
        </w:rPr>
        <w:t>。</w:t>
      </w:r>
      <w:r>
        <w:rPr>
          <w:color w:val="auto"/>
          <w:highlight w:val="none"/>
        </w:rPr>
        <w:t>202</w:t>
      </w:r>
      <w:r>
        <w:rPr>
          <w:rFonts w:hint="eastAsia"/>
          <w:color w:val="auto"/>
          <w:highlight w:val="none"/>
          <w:lang w:val="en-US" w:eastAsia="zh-CN"/>
        </w:rPr>
        <w:t>2</w:t>
      </w:r>
      <w:r>
        <w:rPr>
          <w:color w:val="auto"/>
          <w:highlight w:val="none"/>
        </w:rPr>
        <w:t>年</w:t>
      </w:r>
      <w:r>
        <w:rPr>
          <w:rFonts w:hint="eastAsia"/>
          <w:color w:val="auto"/>
          <w:highlight w:val="none"/>
          <w:lang w:val="en-US" w:eastAsia="zh-CN"/>
        </w:rPr>
        <w:t>6</w:t>
      </w:r>
      <w:r>
        <w:rPr>
          <w:color w:val="auto"/>
          <w:highlight w:val="none"/>
        </w:rPr>
        <w:t>月，</w:t>
      </w:r>
      <w:r>
        <w:rPr>
          <w:rFonts w:hint="eastAsia"/>
          <w:color w:val="auto"/>
          <w:highlight w:val="none"/>
          <w:lang w:eastAsia="zh-CN"/>
        </w:rPr>
        <w:t>义马市</w:t>
      </w:r>
      <w:r>
        <w:rPr>
          <w:color w:val="auto"/>
          <w:highlight w:val="none"/>
        </w:rPr>
        <w:t>发</w:t>
      </w:r>
      <w:r>
        <w:rPr>
          <w:rFonts w:hint="eastAsia"/>
          <w:color w:val="auto"/>
          <w:highlight w:val="none"/>
          <w:lang w:eastAsia="zh-CN"/>
        </w:rPr>
        <w:t>展和改革</w:t>
      </w:r>
      <w:r>
        <w:rPr>
          <w:color w:val="auto"/>
          <w:highlight w:val="none"/>
        </w:rPr>
        <w:t>委</w:t>
      </w:r>
      <w:r>
        <w:rPr>
          <w:rFonts w:hint="eastAsia"/>
          <w:lang w:eastAsia="zh-CN"/>
        </w:rPr>
        <w:t>员会（</w:t>
      </w:r>
      <w:r>
        <w:rPr>
          <w:rFonts w:hint="eastAsia"/>
          <w:lang w:val="en-US" w:eastAsia="zh-CN"/>
        </w:rPr>
        <w:t>以下简称“市发改委”）</w:t>
      </w:r>
      <w:r>
        <w:rPr>
          <w:color w:val="auto"/>
          <w:highlight w:val="none"/>
        </w:rPr>
        <w:t>以《</w:t>
      </w:r>
      <w:r>
        <w:rPr>
          <w:rFonts w:hint="eastAsia"/>
          <w:color w:val="auto"/>
          <w:highlight w:val="none"/>
        </w:rPr>
        <w:t>关于义马市外国语小学南教学楼改造项目可行性研究报告的批复</w:t>
      </w:r>
      <w:r>
        <w:rPr>
          <w:color w:val="auto"/>
          <w:highlight w:val="none"/>
        </w:rPr>
        <w:t>》（</w:t>
      </w:r>
      <w:r>
        <w:rPr>
          <w:rFonts w:hint="eastAsia"/>
          <w:color w:val="auto"/>
          <w:highlight w:val="none"/>
          <w:lang w:eastAsia="zh-CN"/>
        </w:rPr>
        <w:t>义</w:t>
      </w:r>
      <w:r>
        <w:rPr>
          <w:color w:val="auto"/>
          <w:highlight w:val="none"/>
        </w:rPr>
        <w:t>发改〔202</w:t>
      </w:r>
      <w:r>
        <w:rPr>
          <w:rFonts w:hint="eastAsia"/>
          <w:color w:val="auto"/>
          <w:highlight w:val="none"/>
          <w:lang w:val="en-US" w:eastAsia="zh-CN"/>
        </w:rPr>
        <w:t>2</w:t>
      </w:r>
      <w:r>
        <w:rPr>
          <w:color w:val="auto"/>
          <w:highlight w:val="none"/>
        </w:rPr>
        <w:t>〕</w:t>
      </w:r>
      <w:r>
        <w:rPr>
          <w:rFonts w:hint="eastAsia"/>
          <w:color w:val="auto"/>
          <w:highlight w:val="none"/>
          <w:lang w:val="en-US" w:eastAsia="zh-CN"/>
        </w:rPr>
        <w:t>59</w:t>
      </w:r>
      <w:r>
        <w:rPr>
          <w:color w:val="auto"/>
          <w:highlight w:val="none"/>
        </w:rPr>
        <w:t>号），批复了</w:t>
      </w:r>
      <w:r>
        <w:rPr>
          <w:rFonts w:hint="eastAsia"/>
          <w:color w:val="auto"/>
          <w:highlight w:val="none"/>
          <w:lang w:val="en-US" w:eastAsia="zh-CN"/>
        </w:rPr>
        <w:t>该项目</w:t>
      </w:r>
      <w:r>
        <w:rPr>
          <w:rFonts w:hint="eastAsia"/>
          <w:color w:val="auto"/>
          <w:highlight w:val="none"/>
          <w:lang w:eastAsia="zh-CN"/>
        </w:rPr>
        <w:t>总投资</w:t>
      </w:r>
      <w:r>
        <w:rPr>
          <w:rFonts w:hint="eastAsia"/>
          <w:color w:val="auto"/>
          <w:highlight w:val="none"/>
          <w:lang w:val="en-US" w:eastAsia="zh-CN"/>
        </w:rPr>
        <w:t>350.00万元，资金来源为财政资金</w:t>
      </w:r>
      <w:r>
        <w:rPr>
          <w:color w:val="auto"/>
          <w:highlight w:val="none"/>
        </w:rPr>
        <w:t>。</w:t>
      </w:r>
    </w:p>
    <w:p w14:paraId="06881F79">
      <w:pPr>
        <w:keepNext w:val="0"/>
        <w:keepLines w:val="0"/>
        <w:pageBreakBefore w:val="0"/>
        <w:widowControl/>
        <w:kinsoku/>
        <w:wordWrap/>
        <w:overflowPunct/>
        <w:topLinePunct w:val="0"/>
        <w:autoSpaceDE/>
        <w:autoSpaceDN/>
        <w:bidi w:val="0"/>
        <w:adjustRightInd/>
        <w:snapToGrid/>
        <w:spacing w:line="580" w:lineRule="exact"/>
        <w:ind w:firstLine="640"/>
        <w:jc w:val="left"/>
        <w:textAlignment w:val="auto"/>
        <w:rPr>
          <w:color w:val="auto"/>
          <w:highlight w:val="none"/>
        </w:rPr>
      </w:pPr>
      <w:r>
        <w:rPr>
          <w:color w:val="auto"/>
          <w:highlight w:val="none"/>
        </w:rPr>
        <w:t>该项目</w:t>
      </w:r>
      <w:r>
        <w:rPr>
          <w:rFonts w:hint="eastAsia"/>
          <w:color w:val="auto"/>
          <w:highlight w:val="none"/>
          <w:lang w:eastAsia="zh-CN"/>
        </w:rPr>
        <w:t>主要建设</w:t>
      </w:r>
      <w:r>
        <w:rPr>
          <w:rFonts w:hint="eastAsia"/>
          <w:color w:val="auto"/>
          <w:highlight w:val="none"/>
        </w:rPr>
        <w:t>内容</w:t>
      </w:r>
      <w:r>
        <w:rPr>
          <w:rFonts w:hint="eastAsia"/>
          <w:color w:val="auto"/>
          <w:highlight w:val="none"/>
          <w:lang w:eastAsia="zh-CN"/>
        </w:rPr>
        <w:t>包括</w:t>
      </w:r>
      <w:r>
        <w:rPr>
          <w:rFonts w:hint="eastAsia"/>
          <w:color w:val="auto"/>
          <w:highlight w:val="none"/>
        </w:rPr>
        <w:t>三层教学楼</w:t>
      </w:r>
      <w:r>
        <w:rPr>
          <w:rFonts w:hint="eastAsia"/>
          <w:color w:val="auto"/>
          <w:highlight w:val="none"/>
          <w:lang w:eastAsia="zh-CN"/>
        </w:rPr>
        <w:t>屋顶外墙粉刷及室内</w:t>
      </w:r>
      <w:r>
        <w:rPr>
          <w:rFonts w:hint="eastAsia"/>
          <w:color w:val="auto"/>
          <w:highlight w:val="none"/>
        </w:rPr>
        <w:t>装饰装修改造</w:t>
      </w:r>
      <w:r>
        <w:rPr>
          <w:rFonts w:hint="eastAsia"/>
          <w:color w:val="auto"/>
          <w:highlight w:val="none"/>
          <w:lang w:eastAsia="zh-CN"/>
        </w:rPr>
        <w:t>，</w:t>
      </w:r>
      <w:r>
        <w:rPr>
          <w:rFonts w:hint="eastAsia"/>
          <w:color w:val="auto"/>
          <w:highlight w:val="none"/>
        </w:rPr>
        <w:t>水、电、暖改造等工程。</w:t>
      </w:r>
    </w:p>
    <w:p w14:paraId="36FC3F4F">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（二）评价基准日</w:t>
      </w:r>
    </w:p>
    <w:p w14:paraId="248BA3DC">
      <w:pPr>
        <w:keepNext w:val="0"/>
        <w:keepLines w:val="0"/>
        <w:pageBreakBefore w:val="0"/>
        <w:kinsoku/>
        <w:wordWrap/>
        <w:overflowPunct/>
        <w:topLinePunct w:val="0"/>
        <w:autoSpaceDE/>
        <w:autoSpaceDN/>
        <w:bidi w:val="0"/>
        <w:adjustRightInd w:val="0"/>
        <w:snapToGrid w:val="0"/>
        <w:spacing w:line="580" w:lineRule="exact"/>
        <w:ind w:firstLine="640"/>
        <w:textAlignment w:val="auto"/>
        <w:rPr>
          <w:b/>
          <w:bCs/>
          <w:color w:val="auto"/>
        </w:rPr>
      </w:pPr>
      <w:r>
        <w:rPr>
          <w:color w:val="auto"/>
        </w:rPr>
        <w:t>评价基准日：202</w:t>
      </w:r>
      <w:r>
        <w:rPr>
          <w:rFonts w:hint="eastAsia"/>
          <w:color w:val="auto"/>
          <w:lang w:val="en-US" w:eastAsia="zh-CN"/>
        </w:rPr>
        <w:t>3</w:t>
      </w:r>
      <w:r>
        <w:rPr>
          <w:color w:val="auto"/>
        </w:rPr>
        <w:t>年12月31日。</w:t>
      </w:r>
    </w:p>
    <w:p w14:paraId="6C513369">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（三）项目资金情况</w:t>
      </w:r>
    </w:p>
    <w:p w14:paraId="036FF532">
      <w:pPr>
        <w:keepNext w:val="0"/>
        <w:keepLines w:val="0"/>
        <w:pageBreakBefore w:val="0"/>
        <w:kinsoku/>
        <w:wordWrap/>
        <w:overflowPunct/>
        <w:topLinePunct w:val="0"/>
        <w:autoSpaceDE/>
        <w:autoSpaceDN/>
        <w:bidi w:val="0"/>
        <w:adjustRightInd w:val="0"/>
        <w:snapToGrid w:val="0"/>
        <w:spacing w:line="580" w:lineRule="exact"/>
        <w:ind w:firstLine="640"/>
        <w:textAlignment w:val="auto"/>
        <w:rPr>
          <w:rFonts w:hint="default" w:eastAsia="仿宋_GB2312"/>
          <w:color w:val="auto"/>
          <w:lang w:val="en-US" w:eastAsia="zh-CN"/>
        </w:rPr>
      </w:pPr>
      <w:r>
        <w:rPr>
          <w:rFonts w:hint="eastAsia"/>
          <w:color w:val="auto"/>
        </w:rPr>
        <w:t>202</w:t>
      </w:r>
      <w:r>
        <w:rPr>
          <w:rFonts w:hint="eastAsia"/>
          <w:color w:val="auto"/>
          <w:lang w:val="en-US" w:eastAsia="zh-CN"/>
        </w:rPr>
        <w:t>2</w:t>
      </w:r>
      <w:r>
        <w:rPr>
          <w:rFonts w:hint="eastAsia"/>
          <w:color w:val="auto"/>
        </w:rPr>
        <w:t>年</w:t>
      </w:r>
      <w:r>
        <w:rPr>
          <w:rFonts w:hint="eastAsia"/>
          <w:color w:val="auto"/>
          <w:lang w:val="en-US" w:eastAsia="zh-CN"/>
        </w:rPr>
        <w:t>5</w:t>
      </w:r>
      <w:r>
        <w:rPr>
          <w:rFonts w:hint="eastAsia"/>
          <w:color w:val="auto"/>
        </w:rPr>
        <w:t>月，义马市财政局预算评审中心</w:t>
      </w:r>
      <w:r>
        <w:rPr>
          <w:rFonts w:hint="eastAsia"/>
          <w:color w:val="auto"/>
          <w:lang w:eastAsia="zh-CN"/>
        </w:rPr>
        <w:t>以《建设工程项目预（结）算审查批复意见书》（义财建审</w:t>
      </w:r>
      <w:r>
        <w:rPr>
          <w:color w:val="auto"/>
        </w:rPr>
        <w:t>〔202</w:t>
      </w:r>
      <w:r>
        <w:rPr>
          <w:rFonts w:hint="eastAsia"/>
          <w:color w:val="auto"/>
          <w:lang w:val="en-US" w:eastAsia="zh-CN"/>
        </w:rPr>
        <w:t>2</w:t>
      </w:r>
      <w:r>
        <w:rPr>
          <w:color w:val="auto"/>
        </w:rPr>
        <w:t>〕第</w:t>
      </w:r>
      <w:r>
        <w:rPr>
          <w:rFonts w:hint="eastAsia"/>
          <w:color w:val="auto"/>
          <w:lang w:val="en-US" w:eastAsia="zh-CN"/>
        </w:rPr>
        <w:t>05</w:t>
      </w:r>
      <w:r>
        <w:rPr>
          <w:color w:val="auto"/>
        </w:rPr>
        <w:t>7号</w:t>
      </w:r>
      <w:r>
        <w:rPr>
          <w:rFonts w:hint="eastAsia"/>
          <w:color w:val="auto"/>
          <w:lang w:eastAsia="zh-CN"/>
        </w:rPr>
        <w:t>、义财建审</w:t>
      </w:r>
      <w:r>
        <w:rPr>
          <w:color w:val="auto"/>
        </w:rPr>
        <w:t>〔202</w:t>
      </w:r>
      <w:r>
        <w:rPr>
          <w:rFonts w:hint="eastAsia"/>
          <w:color w:val="auto"/>
          <w:lang w:val="en-US" w:eastAsia="zh-CN"/>
        </w:rPr>
        <w:t>2</w:t>
      </w:r>
      <w:r>
        <w:rPr>
          <w:color w:val="auto"/>
        </w:rPr>
        <w:t>〕第</w:t>
      </w:r>
      <w:r>
        <w:rPr>
          <w:rFonts w:hint="eastAsia"/>
          <w:color w:val="auto"/>
          <w:lang w:val="en-US" w:eastAsia="zh-CN"/>
        </w:rPr>
        <w:t>058</w:t>
      </w:r>
      <w:r>
        <w:rPr>
          <w:color w:val="auto"/>
        </w:rPr>
        <w:t>号</w:t>
      </w:r>
      <w:r>
        <w:rPr>
          <w:rFonts w:hint="eastAsia"/>
          <w:color w:val="auto"/>
          <w:lang w:eastAsia="zh-CN"/>
        </w:rPr>
        <w:t>）审定义马市外国语小学南楼改造工程及南楼屋顶改造工程施工预算分别为</w:t>
      </w:r>
      <w:r>
        <w:rPr>
          <w:rFonts w:hint="eastAsia"/>
          <w:color w:val="auto"/>
          <w:lang w:val="en-US" w:eastAsia="zh-CN"/>
        </w:rPr>
        <w:t>305.18万元、31.77万元，合计336.95万元，并以此合计金额作为最高限价进入采购程序。2022年7月，通过竞争性磋商，确定成交单位为河南省仁泰建筑工程有限公司，成交金额336.30万元。</w:t>
      </w:r>
    </w:p>
    <w:p w14:paraId="1A4E6C43">
      <w:pPr>
        <w:keepNext w:val="0"/>
        <w:keepLines w:val="0"/>
        <w:pageBreakBefore w:val="0"/>
        <w:kinsoku/>
        <w:wordWrap/>
        <w:overflowPunct/>
        <w:topLinePunct w:val="0"/>
        <w:autoSpaceDE/>
        <w:autoSpaceDN/>
        <w:bidi w:val="0"/>
        <w:adjustRightInd w:val="0"/>
        <w:snapToGrid w:val="0"/>
        <w:spacing w:line="580" w:lineRule="exact"/>
        <w:ind w:firstLine="640"/>
        <w:textAlignment w:val="auto"/>
        <w:rPr>
          <w:color w:val="auto"/>
        </w:rPr>
      </w:pPr>
      <w:r>
        <w:rPr>
          <w:color w:val="auto"/>
        </w:rPr>
        <w:t>2022年</w:t>
      </w:r>
      <w:r>
        <w:rPr>
          <w:rFonts w:hint="eastAsia"/>
          <w:color w:val="auto"/>
          <w:lang w:val="en-US" w:eastAsia="zh-CN"/>
        </w:rPr>
        <w:t>9</w:t>
      </w:r>
      <w:r>
        <w:rPr>
          <w:color w:val="auto"/>
        </w:rPr>
        <w:t>月</w:t>
      </w:r>
      <w:r>
        <w:rPr>
          <w:rFonts w:hint="eastAsia"/>
          <w:color w:val="auto"/>
          <w:lang w:val="en-US" w:eastAsia="zh-CN"/>
        </w:rPr>
        <w:t>至2023年12月期间</w:t>
      </w:r>
      <w:r>
        <w:rPr>
          <w:color w:val="auto"/>
        </w:rPr>
        <w:t>，</w:t>
      </w:r>
      <w:r>
        <w:rPr>
          <w:rFonts w:hint="eastAsia"/>
          <w:color w:val="auto"/>
        </w:rPr>
        <w:t>义马市财政局</w:t>
      </w:r>
      <w:r>
        <w:rPr>
          <w:rFonts w:hint="eastAsia"/>
          <w:color w:val="auto"/>
          <w:lang w:eastAsia="zh-CN"/>
        </w:rPr>
        <w:t>通过</w:t>
      </w:r>
      <w:r>
        <w:rPr>
          <w:rFonts w:hint="eastAsia"/>
          <w:color w:val="auto"/>
        </w:rPr>
        <w:t>国库集中支付</w:t>
      </w:r>
      <w:r>
        <w:rPr>
          <w:rFonts w:hint="eastAsia"/>
          <w:color w:val="auto"/>
          <w:lang w:eastAsia="zh-CN"/>
        </w:rPr>
        <w:t>累计支付义马市外国语小学</w:t>
      </w:r>
      <w:r>
        <w:rPr>
          <w:rFonts w:hint="eastAsia"/>
          <w:color w:val="auto"/>
        </w:rPr>
        <w:t>南教学楼改造项目</w:t>
      </w:r>
      <w:r>
        <w:rPr>
          <w:rFonts w:hint="eastAsia"/>
          <w:color w:val="auto"/>
          <w:lang w:eastAsia="zh-CN"/>
        </w:rPr>
        <w:t>施工方</w:t>
      </w:r>
      <w:r>
        <w:rPr>
          <w:color w:val="auto"/>
        </w:rPr>
        <w:t>工程款</w:t>
      </w:r>
      <w:r>
        <w:rPr>
          <w:rFonts w:hint="eastAsia"/>
          <w:color w:val="auto"/>
          <w:lang w:val="en-US" w:eastAsia="zh-CN"/>
        </w:rPr>
        <w:t>242.00万元，设计、造价咨询等费用6.91万元，合计248.91万元</w:t>
      </w:r>
      <w:r>
        <w:rPr>
          <w:color w:val="auto"/>
        </w:rPr>
        <w:t>。</w:t>
      </w:r>
    </w:p>
    <w:p w14:paraId="370688B0">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（四）项目绩效目标</w:t>
      </w:r>
    </w:p>
    <w:p w14:paraId="7FF57CD2">
      <w:pPr>
        <w:keepNext w:val="0"/>
        <w:keepLines w:val="0"/>
        <w:pageBreakBefore w:val="0"/>
        <w:kinsoku/>
        <w:wordWrap/>
        <w:overflowPunct/>
        <w:topLinePunct w:val="0"/>
        <w:autoSpaceDE/>
        <w:autoSpaceDN/>
        <w:bidi w:val="0"/>
        <w:adjustRightInd w:val="0"/>
        <w:snapToGrid w:val="0"/>
        <w:spacing w:line="580" w:lineRule="exact"/>
        <w:ind w:firstLine="640"/>
        <w:textAlignment w:val="auto"/>
        <w:rPr>
          <w:color w:val="auto"/>
        </w:rPr>
      </w:pPr>
      <w:r>
        <w:rPr>
          <w:color w:val="auto"/>
        </w:rPr>
        <w:t>根据《</w:t>
      </w:r>
      <w:r>
        <w:rPr>
          <w:rFonts w:hint="eastAsia"/>
          <w:color w:val="auto"/>
        </w:rPr>
        <w:t>义马市外国语小学南教学楼改造项目</w:t>
      </w:r>
      <w:r>
        <w:rPr>
          <w:color w:val="auto"/>
        </w:rPr>
        <w:t>绩效目标表》，</w:t>
      </w:r>
      <w:r>
        <w:rPr>
          <w:rFonts w:hint="eastAsia"/>
          <w:color w:val="auto"/>
          <w:lang w:val="en-US" w:eastAsia="zh-CN"/>
        </w:rPr>
        <w:t>该</w:t>
      </w:r>
      <w:r>
        <w:rPr>
          <w:color w:val="auto"/>
        </w:rPr>
        <w:t>项目202</w:t>
      </w:r>
      <w:r>
        <w:rPr>
          <w:rFonts w:hint="eastAsia"/>
          <w:color w:val="auto"/>
          <w:lang w:val="en-US" w:eastAsia="zh-CN"/>
        </w:rPr>
        <w:t>3</w:t>
      </w:r>
      <w:r>
        <w:rPr>
          <w:color w:val="auto"/>
        </w:rPr>
        <w:t>年度目标</w:t>
      </w:r>
      <w:r>
        <w:rPr>
          <w:rFonts w:hint="eastAsia"/>
          <w:color w:val="auto"/>
        </w:rPr>
        <w:t>为因办学需求，需对学校南楼进行整修，申请外小南楼屋顶改造工程项目资金（大型修缮）95.4万元</w:t>
      </w:r>
      <w:r>
        <w:rPr>
          <w:color w:val="auto"/>
        </w:rPr>
        <w:t>。</w:t>
      </w:r>
      <w:r>
        <w:rPr>
          <w:rFonts w:hint="eastAsia" w:ascii="仿宋_GB2312" w:hAnsi="仿宋" w:cs="仿宋"/>
          <w:color w:val="auto"/>
          <w:szCs w:val="32"/>
        </w:rPr>
        <w:t>具体绩效目标如下：</w:t>
      </w:r>
    </w:p>
    <w:p w14:paraId="3D2A650B">
      <w:pPr>
        <w:spacing w:line="560" w:lineRule="exact"/>
        <w:ind w:firstLine="0" w:firstLineChars="0"/>
        <w:jc w:val="center"/>
        <w:rPr>
          <w:color w:val="auto"/>
          <w:sz w:val="28"/>
          <w:szCs w:val="28"/>
        </w:rPr>
      </w:pPr>
      <w:r>
        <w:rPr>
          <w:b/>
          <w:bCs/>
          <w:color w:val="auto"/>
          <w:kern w:val="0"/>
          <w:sz w:val="28"/>
          <w:szCs w:val="28"/>
        </w:rPr>
        <w:t>202</w:t>
      </w:r>
      <w:r>
        <w:rPr>
          <w:rFonts w:hint="eastAsia"/>
          <w:b/>
          <w:bCs/>
          <w:color w:val="auto"/>
          <w:kern w:val="0"/>
          <w:sz w:val="28"/>
          <w:szCs w:val="28"/>
          <w:lang w:val="en-US" w:eastAsia="zh-CN"/>
        </w:rPr>
        <w:t>3</w:t>
      </w:r>
      <w:r>
        <w:rPr>
          <w:b/>
          <w:bCs/>
          <w:color w:val="auto"/>
          <w:kern w:val="0"/>
          <w:sz w:val="28"/>
          <w:szCs w:val="28"/>
        </w:rPr>
        <w:t>年</w:t>
      </w:r>
      <w:r>
        <w:rPr>
          <w:b/>
          <w:color w:val="auto"/>
          <w:kern w:val="0"/>
          <w:sz w:val="28"/>
          <w:szCs w:val="28"/>
        </w:rPr>
        <w:t>度绩效目标表</w:t>
      </w:r>
    </w:p>
    <w:tbl>
      <w:tblPr>
        <w:tblStyle w:val="12"/>
        <w:tblW w:w="85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4"/>
        <w:gridCol w:w="1706"/>
        <w:gridCol w:w="3247"/>
        <w:gridCol w:w="1862"/>
      </w:tblGrid>
      <w:tr w14:paraId="53885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tcBorders>
              <w:top w:val="single" w:color="000000" w:sz="4" w:space="0"/>
              <w:left w:val="single" w:color="000000" w:sz="4" w:space="0"/>
              <w:bottom w:val="single" w:color="000000" w:sz="4" w:space="0"/>
              <w:right w:val="single" w:color="000000" w:sz="4" w:space="0"/>
            </w:tcBorders>
            <w:vAlign w:val="center"/>
          </w:tcPr>
          <w:p w14:paraId="0DD76943">
            <w:pPr>
              <w:ind w:firstLine="0" w:firstLineChars="0"/>
              <w:jc w:val="center"/>
              <w:rPr>
                <w:b/>
                <w:bCs/>
                <w:color w:val="auto"/>
                <w:sz w:val="24"/>
              </w:rPr>
            </w:pPr>
            <w:r>
              <w:rPr>
                <w:b/>
                <w:bCs/>
                <w:color w:val="auto"/>
                <w:sz w:val="24"/>
              </w:rPr>
              <w:t>一级指标</w:t>
            </w:r>
          </w:p>
        </w:tc>
        <w:tc>
          <w:tcPr>
            <w:tcW w:w="1706" w:type="dxa"/>
            <w:tcBorders>
              <w:top w:val="single" w:color="000000" w:sz="4" w:space="0"/>
              <w:left w:val="single" w:color="000000" w:sz="4" w:space="0"/>
              <w:bottom w:val="single" w:color="000000" w:sz="4" w:space="0"/>
              <w:right w:val="single" w:color="000000" w:sz="4" w:space="0"/>
            </w:tcBorders>
            <w:vAlign w:val="center"/>
          </w:tcPr>
          <w:p w14:paraId="08E892F1">
            <w:pPr>
              <w:ind w:firstLine="0" w:firstLineChars="0"/>
              <w:jc w:val="center"/>
              <w:rPr>
                <w:b/>
                <w:bCs/>
                <w:color w:val="auto"/>
                <w:sz w:val="24"/>
              </w:rPr>
            </w:pPr>
            <w:r>
              <w:rPr>
                <w:b/>
                <w:bCs/>
                <w:color w:val="auto"/>
                <w:sz w:val="24"/>
              </w:rPr>
              <w:t>二级指标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4D09B5CF">
            <w:pPr>
              <w:ind w:firstLine="0" w:firstLineChars="0"/>
              <w:jc w:val="center"/>
              <w:rPr>
                <w:b/>
                <w:bCs/>
                <w:color w:val="auto"/>
                <w:sz w:val="24"/>
              </w:rPr>
            </w:pPr>
            <w:r>
              <w:rPr>
                <w:b/>
                <w:bCs/>
                <w:color w:val="auto"/>
                <w:sz w:val="24"/>
              </w:rPr>
              <w:t>三级指标</w:t>
            </w:r>
          </w:p>
        </w:tc>
        <w:tc>
          <w:tcPr>
            <w:tcW w:w="1862" w:type="dxa"/>
            <w:tcBorders>
              <w:top w:val="single" w:color="000000" w:sz="4" w:space="0"/>
              <w:left w:val="single" w:color="000000" w:sz="4" w:space="0"/>
              <w:bottom w:val="single" w:color="000000" w:sz="4" w:space="0"/>
              <w:right w:val="single" w:color="000000" w:sz="4" w:space="0"/>
            </w:tcBorders>
            <w:vAlign w:val="center"/>
          </w:tcPr>
          <w:p w14:paraId="42641E3D">
            <w:pPr>
              <w:ind w:firstLine="0" w:firstLineChars="0"/>
              <w:jc w:val="center"/>
              <w:rPr>
                <w:b/>
                <w:bCs/>
                <w:color w:val="auto"/>
                <w:sz w:val="24"/>
              </w:rPr>
            </w:pPr>
            <w:r>
              <w:rPr>
                <w:b/>
                <w:bCs/>
                <w:color w:val="auto"/>
                <w:sz w:val="24"/>
              </w:rPr>
              <w:t>指标值</w:t>
            </w:r>
          </w:p>
        </w:tc>
      </w:tr>
      <w:tr w14:paraId="2952B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tcBorders>
              <w:top w:val="single" w:color="000000" w:sz="4" w:space="0"/>
              <w:left w:val="single" w:color="000000" w:sz="4" w:space="0"/>
              <w:right w:val="single" w:color="000000" w:sz="4" w:space="0"/>
            </w:tcBorders>
            <w:vAlign w:val="center"/>
          </w:tcPr>
          <w:p w14:paraId="5F511771">
            <w:pPr>
              <w:ind w:firstLine="0" w:firstLineChars="0"/>
              <w:jc w:val="center"/>
              <w:rPr>
                <w:b/>
                <w:bCs/>
                <w:color w:val="auto"/>
                <w:sz w:val="24"/>
              </w:rPr>
            </w:pPr>
            <w:r>
              <w:rPr>
                <w:b/>
                <w:bCs/>
                <w:color w:val="auto"/>
                <w:sz w:val="24"/>
              </w:rPr>
              <w:t>成本指标</w:t>
            </w:r>
          </w:p>
        </w:tc>
        <w:tc>
          <w:tcPr>
            <w:tcW w:w="1706" w:type="dxa"/>
            <w:tcBorders>
              <w:top w:val="single" w:color="000000" w:sz="4" w:space="0"/>
              <w:left w:val="single" w:color="000000" w:sz="4" w:space="0"/>
              <w:right w:val="single" w:color="000000" w:sz="4" w:space="0"/>
            </w:tcBorders>
            <w:vAlign w:val="center"/>
          </w:tcPr>
          <w:p w14:paraId="1902F4ED">
            <w:pPr>
              <w:ind w:firstLine="0" w:firstLineChars="0"/>
              <w:jc w:val="center"/>
              <w:rPr>
                <w:color w:val="auto"/>
                <w:sz w:val="24"/>
              </w:rPr>
            </w:pPr>
            <w:r>
              <w:rPr>
                <w:color w:val="auto"/>
                <w:sz w:val="24"/>
              </w:rPr>
              <w:t>经济成本指标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2078B8FD">
            <w:pPr>
              <w:ind w:firstLine="0" w:firstLineChars="0"/>
              <w:jc w:val="center"/>
              <w:rPr>
                <w:rFonts w:hint="eastAsia" w:eastAsia="仿宋_GB2312"/>
                <w:color w:val="auto"/>
                <w:sz w:val="24"/>
                <w:lang w:eastAsia="zh-CN"/>
              </w:rPr>
            </w:pPr>
            <w:r>
              <w:rPr>
                <w:rFonts w:hint="eastAsia"/>
                <w:color w:val="auto"/>
                <w:sz w:val="24"/>
                <w:lang w:eastAsia="zh-CN"/>
              </w:rPr>
              <w:t>总成本</w:t>
            </w:r>
          </w:p>
        </w:tc>
        <w:tc>
          <w:tcPr>
            <w:tcW w:w="1862" w:type="dxa"/>
            <w:tcBorders>
              <w:top w:val="single" w:color="000000" w:sz="4" w:space="0"/>
              <w:left w:val="single" w:color="000000" w:sz="4" w:space="0"/>
              <w:bottom w:val="single" w:color="000000" w:sz="4" w:space="0"/>
              <w:right w:val="single" w:color="000000" w:sz="4" w:space="0"/>
            </w:tcBorders>
            <w:vAlign w:val="center"/>
          </w:tcPr>
          <w:p w14:paraId="547F087E">
            <w:pPr>
              <w:ind w:firstLine="0" w:firstLineChars="0"/>
              <w:jc w:val="center"/>
              <w:rPr>
                <w:rFonts w:hint="eastAsia" w:ascii="Times New Roman" w:hAnsi="Times New Roman" w:cs="Times New Roman"/>
                <w:color w:val="auto"/>
                <w:sz w:val="24"/>
                <w:lang w:eastAsia="zh-CN"/>
              </w:rPr>
            </w:pPr>
            <w:r>
              <w:rPr>
                <w:rFonts w:hint="eastAsia" w:ascii="Times New Roman" w:hAnsi="Times New Roman" w:cs="Times New Roman"/>
                <w:color w:val="auto"/>
                <w:sz w:val="24"/>
                <w:lang w:val="en-US" w:eastAsia="zh-CN"/>
              </w:rPr>
              <w:t>336.3</w:t>
            </w:r>
            <w:r>
              <w:rPr>
                <w:rFonts w:hint="eastAsia" w:ascii="Times New Roman" w:hAnsi="Times New Roman" w:cs="Times New Roman"/>
                <w:color w:val="auto"/>
                <w:sz w:val="24"/>
                <w:lang w:eastAsia="zh-CN"/>
              </w:rPr>
              <w:t>万元</w:t>
            </w:r>
          </w:p>
        </w:tc>
      </w:tr>
      <w:tr w14:paraId="64EBE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vMerge w:val="restart"/>
            <w:tcBorders>
              <w:top w:val="single" w:color="000000" w:sz="4" w:space="0"/>
              <w:left w:val="single" w:color="000000" w:sz="4" w:space="0"/>
              <w:right w:val="single" w:color="000000" w:sz="4" w:space="0"/>
            </w:tcBorders>
            <w:vAlign w:val="center"/>
          </w:tcPr>
          <w:p w14:paraId="5EFC0FB6">
            <w:pPr>
              <w:ind w:firstLine="0" w:firstLineChars="0"/>
              <w:jc w:val="center"/>
              <w:rPr>
                <w:b/>
                <w:bCs/>
                <w:color w:val="auto"/>
                <w:sz w:val="24"/>
              </w:rPr>
            </w:pPr>
            <w:r>
              <w:rPr>
                <w:b/>
                <w:bCs/>
                <w:color w:val="auto"/>
                <w:sz w:val="24"/>
              </w:rPr>
              <w:t>产出指标</w:t>
            </w:r>
          </w:p>
        </w:tc>
        <w:tc>
          <w:tcPr>
            <w:tcW w:w="1706" w:type="dxa"/>
            <w:tcBorders>
              <w:top w:val="single" w:color="000000" w:sz="4" w:space="0"/>
              <w:left w:val="single" w:color="000000" w:sz="4" w:space="0"/>
              <w:bottom w:val="single" w:color="000000" w:sz="4" w:space="0"/>
              <w:right w:val="single" w:color="000000" w:sz="4" w:space="0"/>
            </w:tcBorders>
            <w:vAlign w:val="center"/>
          </w:tcPr>
          <w:p w14:paraId="54BF6228">
            <w:pPr>
              <w:ind w:firstLine="0" w:firstLineChars="0"/>
              <w:jc w:val="center"/>
              <w:rPr>
                <w:color w:val="auto"/>
                <w:sz w:val="24"/>
              </w:rPr>
            </w:pPr>
            <w:r>
              <w:rPr>
                <w:color w:val="auto"/>
                <w:sz w:val="24"/>
              </w:rPr>
              <w:t>数量指标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491F56BA">
            <w:pPr>
              <w:ind w:firstLine="0" w:firstLineChars="0"/>
              <w:jc w:val="center"/>
              <w:rPr>
                <w:rFonts w:hint="eastAsia" w:eastAsia="仿宋_GB2312"/>
                <w:color w:val="auto"/>
                <w:sz w:val="24"/>
                <w:lang w:eastAsia="zh-CN"/>
              </w:rPr>
            </w:pPr>
            <w:r>
              <w:rPr>
                <w:rFonts w:hint="eastAsia"/>
                <w:color w:val="auto"/>
                <w:sz w:val="24"/>
                <w:lang w:eastAsia="zh-CN"/>
              </w:rPr>
              <w:t>完成度</w:t>
            </w:r>
          </w:p>
        </w:tc>
        <w:tc>
          <w:tcPr>
            <w:tcW w:w="1862" w:type="dxa"/>
            <w:tcBorders>
              <w:top w:val="single" w:color="000000" w:sz="4" w:space="0"/>
              <w:left w:val="single" w:color="000000" w:sz="4" w:space="0"/>
              <w:bottom w:val="single" w:color="000000" w:sz="4" w:space="0"/>
              <w:right w:val="single" w:color="000000" w:sz="4" w:space="0"/>
            </w:tcBorders>
            <w:vAlign w:val="center"/>
          </w:tcPr>
          <w:p w14:paraId="6CA43977">
            <w:pPr>
              <w:ind w:firstLine="0" w:firstLineChars="0"/>
              <w:jc w:val="center"/>
              <w:rPr>
                <w:rFonts w:hint="default"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100</w:t>
            </w:r>
          </w:p>
        </w:tc>
      </w:tr>
      <w:tr w14:paraId="77E03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vMerge w:val="continue"/>
            <w:tcBorders>
              <w:left w:val="single" w:color="000000" w:sz="4" w:space="0"/>
              <w:right w:val="single" w:color="000000" w:sz="4" w:space="0"/>
            </w:tcBorders>
            <w:vAlign w:val="center"/>
          </w:tcPr>
          <w:p w14:paraId="121FB85F">
            <w:pPr>
              <w:ind w:firstLine="0" w:firstLineChars="0"/>
              <w:jc w:val="center"/>
              <w:rPr>
                <w:b/>
                <w:bCs/>
                <w:color w:val="auto"/>
                <w:sz w:val="24"/>
              </w:rPr>
            </w:pPr>
          </w:p>
        </w:tc>
        <w:tc>
          <w:tcPr>
            <w:tcW w:w="1706" w:type="dxa"/>
            <w:tcBorders>
              <w:top w:val="single" w:color="000000" w:sz="4" w:space="0"/>
              <w:left w:val="single" w:color="000000" w:sz="4" w:space="0"/>
              <w:bottom w:val="single" w:color="000000" w:sz="4" w:space="0"/>
              <w:right w:val="single" w:color="000000" w:sz="4" w:space="0"/>
            </w:tcBorders>
            <w:vAlign w:val="center"/>
          </w:tcPr>
          <w:p w14:paraId="7CF66F3B">
            <w:pPr>
              <w:ind w:firstLine="0" w:firstLineChars="0"/>
              <w:jc w:val="center"/>
              <w:rPr>
                <w:color w:val="auto"/>
                <w:sz w:val="24"/>
              </w:rPr>
            </w:pPr>
            <w:r>
              <w:rPr>
                <w:color w:val="auto"/>
                <w:sz w:val="24"/>
              </w:rPr>
              <w:t>质量指标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6F2088CE">
            <w:pPr>
              <w:ind w:firstLine="0" w:firstLineChars="0"/>
              <w:jc w:val="center"/>
              <w:rPr>
                <w:color w:val="auto"/>
                <w:sz w:val="24"/>
              </w:rPr>
            </w:pPr>
            <w:r>
              <w:rPr>
                <w:rFonts w:hint="default"/>
                <w:color w:val="auto"/>
                <w:sz w:val="24"/>
                <w:lang w:val="zh-CN" w:eastAsia="zh-CN"/>
              </w:rPr>
              <w:t>经费支出合规性</w:t>
            </w:r>
          </w:p>
        </w:tc>
        <w:tc>
          <w:tcPr>
            <w:tcW w:w="1862" w:type="dxa"/>
            <w:tcBorders>
              <w:top w:val="single" w:color="000000" w:sz="4" w:space="0"/>
              <w:left w:val="single" w:color="000000" w:sz="4" w:space="0"/>
              <w:bottom w:val="single" w:color="000000" w:sz="4" w:space="0"/>
              <w:right w:val="single" w:color="000000" w:sz="4" w:space="0"/>
            </w:tcBorders>
            <w:vAlign w:val="center"/>
          </w:tcPr>
          <w:p w14:paraId="5013D351">
            <w:pPr>
              <w:ind w:firstLine="0" w:firstLineChars="0"/>
              <w:jc w:val="center"/>
              <w:rPr>
                <w:rFonts w:hint="eastAsia" w:ascii="Times New Roman" w:hAnsi="Times New Roman" w:cs="Times New Roman"/>
                <w:color w:val="auto"/>
                <w:sz w:val="24"/>
                <w:lang w:eastAsia="zh-CN"/>
              </w:rPr>
            </w:pPr>
            <w:r>
              <w:rPr>
                <w:rFonts w:hint="eastAsia" w:ascii="Times New Roman" w:hAnsi="Times New Roman" w:cs="Times New Roman"/>
                <w:color w:val="auto"/>
                <w:sz w:val="24"/>
                <w:lang w:eastAsia="zh-CN"/>
              </w:rPr>
              <w:t>≥9</w:t>
            </w:r>
            <w:r>
              <w:rPr>
                <w:rFonts w:hint="eastAsia" w:ascii="Times New Roman" w:hAnsi="Times New Roman" w:cs="Times New Roman"/>
                <w:color w:val="auto"/>
                <w:sz w:val="24"/>
                <w:lang w:val="en-US" w:eastAsia="zh-CN"/>
              </w:rPr>
              <w:t>8</w:t>
            </w:r>
            <w:r>
              <w:rPr>
                <w:rFonts w:hint="eastAsia" w:ascii="Times New Roman" w:hAnsi="Times New Roman" w:cs="Times New Roman"/>
                <w:color w:val="auto"/>
                <w:sz w:val="24"/>
                <w:lang w:eastAsia="zh-CN"/>
              </w:rPr>
              <w:t>%</w:t>
            </w:r>
          </w:p>
        </w:tc>
      </w:tr>
      <w:tr w14:paraId="4AB98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vMerge w:val="continue"/>
            <w:tcBorders>
              <w:left w:val="single" w:color="000000" w:sz="4" w:space="0"/>
              <w:bottom w:val="single" w:color="000000" w:sz="4" w:space="0"/>
              <w:right w:val="single" w:color="000000" w:sz="4" w:space="0"/>
            </w:tcBorders>
            <w:vAlign w:val="center"/>
          </w:tcPr>
          <w:p w14:paraId="5DF5CCB6">
            <w:pPr>
              <w:ind w:firstLine="0" w:firstLineChars="0"/>
              <w:jc w:val="center"/>
              <w:rPr>
                <w:b/>
                <w:bCs/>
                <w:color w:val="auto"/>
                <w:sz w:val="24"/>
              </w:rPr>
            </w:pPr>
          </w:p>
        </w:tc>
        <w:tc>
          <w:tcPr>
            <w:tcW w:w="1706" w:type="dxa"/>
            <w:tcBorders>
              <w:top w:val="single" w:color="000000" w:sz="4" w:space="0"/>
              <w:left w:val="single" w:color="000000" w:sz="4" w:space="0"/>
              <w:bottom w:val="single" w:color="000000" w:sz="4" w:space="0"/>
              <w:right w:val="single" w:color="000000" w:sz="4" w:space="0"/>
            </w:tcBorders>
            <w:vAlign w:val="center"/>
          </w:tcPr>
          <w:p w14:paraId="6C0A44CB">
            <w:pPr>
              <w:ind w:firstLine="0" w:firstLineChars="0"/>
              <w:jc w:val="center"/>
              <w:rPr>
                <w:rFonts w:hint="eastAsia" w:eastAsia="仿宋_GB2312"/>
                <w:color w:val="auto"/>
                <w:sz w:val="24"/>
                <w:lang w:eastAsia="zh-CN"/>
              </w:rPr>
            </w:pPr>
            <w:r>
              <w:rPr>
                <w:rFonts w:hint="eastAsia"/>
                <w:color w:val="auto"/>
                <w:sz w:val="24"/>
                <w:lang w:eastAsia="zh-CN"/>
              </w:rPr>
              <w:t>时效指标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40840E12">
            <w:pPr>
              <w:ind w:firstLine="0" w:firstLineChars="0"/>
              <w:jc w:val="center"/>
              <w:rPr>
                <w:rFonts w:hint="default"/>
                <w:color w:val="auto"/>
                <w:sz w:val="24"/>
                <w:lang w:val="zh-CN" w:eastAsia="zh-CN"/>
              </w:rPr>
            </w:pPr>
            <w:r>
              <w:rPr>
                <w:rFonts w:hint="eastAsia"/>
                <w:color w:val="auto"/>
                <w:sz w:val="24"/>
                <w:lang w:val="zh-CN" w:eastAsia="zh-CN"/>
              </w:rPr>
              <w:t>时效性</w:t>
            </w:r>
          </w:p>
        </w:tc>
        <w:tc>
          <w:tcPr>
            <w:tcW w:w="1862" w:type="dxa"/>
            <w:tcBorders>
              <w:top w:val="single" w:color="000000" w:sz="4" w:space="0"/>
              <w:left w:val="single" w:color="000000" w:sz="4" w:space="0"/>
              <w:bottom w:val="single" w:color="000000" w:sz="4" w:space="0"/>
              <w:right w:val="single" w:color="000000" w:sz="4" w:space="0"/>
            </w:tcBorders>
            <w:vAlign w:val="center"/>
          </w:tcPr>
          <w:p w14:paraId="668C81B9">
            <w:pPr>
              <w:ind w:firstLine="0" w:firstLineChars="0"/>
              <w:jc w:val="center"/>
              <w:rPr>
                <w:rFonts w:hint="eastAsia" w:ascii="Times New Roman" w:hAnsi="Times New Roman" w:cs="Times New Roman"/>
                <w:color w:val="auto"/>
                <w:sz w:val="24"/>
                <w:lang w:eastAsia="zh-CN"/>
              </w:rPr>
            </w:pPr>
            <w:r>
              <w:rPr>
                <w:rFonts w:hint="eastAsia" w:ascii="Times New Roman" w:hAnsi="Times New Roman" w:cs="Times New Roman"/>
                <w:color w:val="auto"/>
                <w:sz w:val="24"/>
                <w:lang w:eastAsia="zh-CN"/>
              </w:rPr>
              <w:t>及时</w:t>
            </w:r>
          </w:p>
        </w:tc>
      </w:tr>
      <w:tr w14:paraId="2AEF2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tcBorders>
              <w:top w:val="single" w:color="000000" w:sz="4" w:space="0"/>
              <w:left w:val="single" w:color="000000" w:sz="4" w:space="0"/>
              <w:bottom w:val="single" w:color="000000" w:sz="4" w:space="0"/>
              <w:right w:val="single" w:color="000000" w:sz="4" w:space="0"/>
            </w:tcBorders>
            <w:vAlign w:val="center"/>
          </w:tcPr>
          <w:p w14:paraId="61ECAE9A">
            <w:pPr>
              <w:ind w:firstLine="0" w:firstLineChars="0"/>
              <w:jc w:val="center"/>
              <w:rPr>
                <w:b/>
                <w:bCs/>
                <w:color w:val="auto"/>
                <w:sz w:val="24"/>
              </w:rPr>
            </w:pPr>
            <w:r>
              <w:rPr>
                <w:b/>
                <w:bCs/>
                <w:color w:val="auto"/>
                <w:sz w:val="24"/>
              </w:rPr>
              <w:t>效益指标</w:t>
            </w:r>
          </w:p>
        </w:tc>
        <w:tc>
          <w:tcPr>
            <w:tcW w:w="1706" w:type="dxa"/>
            <w:tcBorders>
              <w:top w:val="single" w:color="000000" w:sz="4" w:space="0"/>
              <w:left w:val="single" w:color="000000" w:sz="4" w:space="0"/>
              <w:bottom w:val="single" w:color="000000" w:sz="4" w:space="0"/>
              <w:right w:val="single" w:color="000000" w:sz="4" w:space="0"/>
            </w:tcBorders>
            <w:vAlign w:val="center"/>
          </w:tcPr>
          <w:p w14:paraId="3510CF24">
            <w:pPr>
              <w:ind w:firstLine="0" w:firstLineChars="0"/>
              <w:jc w:val="center"/>
              <w:rPr>
                <w:color w:val="auto"/>
                <w:sz w:val="24"/>
              </w:rPr>
            </w:pPr>
            <w:r>
              <w:rPr>
                <w:rFonts w:hint="eastAsia"/>
                <w:color w:val="auto"/>
                <w:sz w:val="24"/>
                <w:lang w:eastAsia="zh-CN"/>
              </w:rPr>
              <w:t>社会</w:t>
            </w:r>
            <w:r>
              <w:rPr>
                <w:color w:val="auto"/>
                <w:sz w:val="24"/>
              </w:rPr>
              <w:t>效益指标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601AB160">
            <w:pPr>
              <w:ind w:firstLine="0" w:firstLineChars="0"/>
              <w:jc w:val="center"/>
              <w:rPr>
                <w:rFonts w:hint="eastAsia"/>
                <w:color w:val="auto"/>
                <w:sz w:val="24"/>
                <w:lang w:val="zh-CN" w:eastAsia="zh-CN"/>
              </w:rPr>
            </w:pPr>
            <w:r>
              <w:rPr>
                <w:rFonts w:hint="default"/>
                <w:color w:val="auto"/>
                <w:sz w:val="24"/>
                <w:lang w:val="zh-CN" w:eastAsia="zh-CN"/>
              </w:rPr>
              <w:t>改善办学环境</w:t>
            </w:r>
          </w:p>
        </w:tc>
        <w:tc>
          <w:tcPr>
            <w:tcW w:w="1862" w:type="dxa"/>
            <w:tcBorders>
              <w:top w:val="single" w:color="000000" w:sz="4" w:space="0"/>
              <w:left w:val="single" w:color="000000" w:sz="4" w:space="0"/>
              <w:bottom w:val="single" w:color="000000" w:sz="4" w:space="0"/>
              <w:right w:val="single" w:color="000000" w:sz="4" w:space="0"/>
            </w:tcBorders>
            <w:vAlign w:val="center"/>
          </w:tcPr>
          <w:p w14:paraId="43035713">
            <w:pPr>
              <w:ind w:firstLine="0" w:firstLineChars="0"/>
              <w:jc w:val="center"/>
              <w:rPr>
                <w:rFonts w:hint="eastAsia" w:ascii="Times New Roman" w:hAnsi="Times New Roman" w:cs="Times New Roman"/>
                <w:color w:val="auto"/>
                <w:sz w:val="24"/>
                <w:lang w:val="zh-CN" w:eastAsia="zh-CN"/>
              </w:rPr>
            </w:pPr>
            <w:r>
              <w:rPr>
                <w:rFonts w:hint="eastAsia" w:ascii="Times New Roman" w:hAnsi="Times New Roman" w:cs="Times New Roman"/>
                <w:color w:val="auto"/>
                <w:sz w:val="24"/>
                <w:lang w:val="zh-CN" w:eastAsia="zh-CN"/>
              </w:rPr>
              <w:t>明显</w:t>
            </w:r>
          </w:p>
        </w:tc>
      </w:tr>
      <w:tr w14:paraId="3F5CC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tcBorders>
              <w:top w:val="single" w:color="000000" w:sz="4" w:space="0"/>
              <w:left w:val="single" w:color="000000" w:sz="4" w:space="0"/>
              <w:bottom w:val="single" w:color="000000" w:sz="4" w:space="0"/>
              <w:right w:val="single" w:color="000000" w:sz="4" w:space="0"/>
            </w:tcBorders>
            <w:vAlign w:val="center"/>
          </w:tcPr>
          <w:p w14:paraId="71D6D4B4">
            <w:pPr>
              <w:ind w:firstLine="0" w:firstLineChars="0"/>
              <w:jc w:val="center"/>
              <w:rPr>
                <w:b/>
                <w:bCs/>
                <w:color w:val="auto"/>
                <w:sz w:val="24"/>
              </w:rPr>
            </w:pPr>
            <w:r>
              <w:rPr>
                <w:b/>
                <w:bCs/>
                <w:color w:val="auto"/>
                <w:sz w:val="24"/>
              </w:rPr>
              <w:t>满意度指标</w:t>
            </w:r>
          </w:p>
        </w:tc>
        <w:tc>
          <w:tcPr>
            <w:tcW w:w="1706" w:type="dxa"/>
            <w:tcBorders>
              <w:top w:val="single" w:color="000000" w:sz="4" w:space="0"/>
              <w:left w:val="single" w:color="000000" w:sz="4" w:space="0"/>
              <w:bottom w:val="single" w:color="000000" w:sz="4" w:space="0"/>
              <w:right w:val="single" w:color="000000" w:sz="4" w:space="0"/>
            </w:tcBorders>
            <w:vAlign w:val="center"/>
          </w:tcPr>
          <w:p w14:paraId="6E1B00DC">
            <w:pPr>
              <w:ind w:firstLine="0" w:firstLineChars="0"/>
              <w:jc w:val="center"/>
              <w:rPr>
                <w:color w:val="auto"/>
                <w:sz w:val="24"/>
              </w:rPr>
            </w:pPr>
            <w:r>
              <w:rPr>
                <w:color w:val="auto"/>
                <w:sz w:val="24"/>
              </w:rPr>
              <w:t>服务对象满意度指标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7016A635">
            <w:pPr>
              <w:ind w:firstLine="0" w:firstLineChars="0"/>
              <w:jc w:val="center"/>
              <w:rPr>
                <w:color w:val="auto"/>
                <w:sz w:val="24"/>
              </w:rPr>
            </w:pPr>
            <w:r>
              <w:rPr>
                <w:color w:val="auto"/>
                <w:sz w:val="24"/>
              </w:rPr>
              <w:t>群众满意度</w:t>
            </w:r>
          </w:p>
        </w:tc>
        <w:tc>
          <w:tcPr>
            <w:tcW w:w="1862" w:type="dxa"/>
            <w:tcBorders>
              <w:top w:val="single" w:color="000000" w:sz="4" w:space="0"/>
              <w:left w:val="single" w:color="000000" w:sz="4" w:space="0"/>
              <w:bottom w:val="single" w:color="000000" w:sz="4" w:space="0"/>
              <w:right w:val="single" w:color="000000" w:sz="4" w:space="0"/>
            </w:tcBorders>
            <w:vAlign w:val="center"/>
          </w:tcPr>
          <w:p w14:paraId="67F12165">
            <w:pPr>
              <w:ind w:firstLine="0" w:firstLineChars="0"/>
              <w:jc w:val="center"/>
              <w:rPr>
                <w:rFonts w:hint="eastAsia" w:ascii="Times New Roman" w:hAnsi="Times New Roman" w:cs="Times New Roman"/>
                <w:color w:val="auto"/>
                <w:sz w:val="24"/>
                <w:lang w:eastAsia="zh-CN"/>
              </w:rPr>
            </w:pPr>
            <w:r>
              <w:rPr>
                <w:rFonts w:hint="eastAsia" w:ascii="Times New Roman" w:hAnsi="Times New Roman" w:cs="Times New Roman"/>
                <w:color w:val="auto"/>
                <w:sz w:val="24"/>
                <w:lang w:eastAsia="zh-CN"/>
              </w:rPr>
              <w:t>≥9</w:t>
            </w:r>
            <w:r>
              <w:rPr>
                <w:rFonts w:hint="eastAsia" w:ascii="Times New Roman" w:hAnsi="Times New Roman" w:cs="Times New Roman"/>
                <w:color w:val="auto"/>
                <w:sz w:val="24"/>
                <w:lang w:val="en-US" w:eastAsia="zh-CN"/>
              </w:rPr>
              <w:t>9</w:t>
            </w:r>
            <w:r>
              <w:rPr>
                <w:rFonts w:hint="eastAsia" w:ascii="Times New Roman" w:hAnsi="Times New Roman" w:cs="Times New Roman"/>
                <w:color w:val="auto"/>
                <w:sz w:val="24"/>
                <w:lang w:eastAsia="zh-CN"/>
              </w:rPr>
              <w:t>%</w:t>
            </w:r>
          </w:p>
        </w:tc>
      </w:tr>
    </w:tbl>
    <w:p w14:paraId="5F5A0D63">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（五）项目实施情况</w:t>
      </w:r>
    </w:p>
    <w:p w14:paraId="29EB72A8">
      <w:pPr>
        <w:keepNext w:val="0"/>
        <w:keepLines w:val="0"/>
        <w:pageBreakBefore w:val="0"/>
        <w:widowControl/>
        <w:kinsoku/>
        <w:wordWrap/>
        <w:overflowPunct/>
        <w:topLinePunct w:val="0"/>
        <w:autoSpaceDE/>
        <w:autoSpaceDN/>
        <w:bidi w:val="0"/>
        <w:spacing w:line="580" w:lineRule="exact"/>
        <w:ind w:firstLine="640"/>
        <w:jc w:val="left"/>
        <w:textAlignment w:val="auto"/>
        <w:rPr>
          <w:rFonts w:hint="eastAsia"/>
          <w:color w:val="auto"/>
        </w:rPr>
      </w:pPr>
      <w:r>
        <w:rPr>
          <w:color w:val="auto"/>
        </w:rPr>
        <w:t>202</w:t>
      </w:r>
      <w:r>
        <w:rPr>
          <w:rFonts w:hint="eastAsia"/>
          <w:color w:val="auto"/>
          <w:lang w:val="en-US" w:eastAsia="zh-CN"/>
        </w:rPr>
        <w:t>2</w:t>
      </w:r>
      <w:r>
        <w:rPr>
          <w:color w:val="auto"/>
        </w:rPr>
        <w:t>年</w:t>
      </w:r>
      <w:r>
        <w:rPr>
          <w:rFonts w:hint="eastAsia"/>
          <w:color w:val="auto"/>
          <w:lang w:val="en-US" w:eastAsia="zh-CN"/>
        </w:rPr>
        <w:t>7</w:t>
      </w:r>
      <w:r>
        <w:rPr>
          <w:color w:val="auto"/>
        </w:rPr>
        <w:t>月，</w:t>
      </w:r>
      <w:r>
        <w:rPr>
          <w:rFonts w:hint="eastAsia"/>
          <w:color w:val="auto"/>
        </w:rPr>
        <w:t>义马市外国语小学</w:t>
      </w:r>
      <w:r>
        <w:rPr>
          <w:color w:val="auto"/>
        </w:rPr>
        <w:t>与</w:t>
      </w:r>
      <w:r>
        <w:rPr>
          <w:rFonts w:hint="eastAsia"/>
          <w:color w:val="auto"/>
        </w:rPr>
        <w:t>河南省仁泰建筑工程有限公司</w:t>
      </w:r>
      <w:r>
        <w:rPr>
          <w:color w:val="auto"/>
        </w:rPr>
        <w:t>签订《建设工程施工合同》</w:t>
      </w:r>
      <w:r>
        <w:rPr>
          <w:rFonts w:hint="eastAsia"/>
          <w:color w:val="auto"/>
        </w:rPr>
        <w:t>，</w:t>
      </w:r>
      <w:r>
        <w:rPr>
          <w:rFonts w:hint="eastAsia"/>
          <w:color w:val="auto"/>
          <w:lang w:val="en-US" w:eastAsia="zh-CN"/>
        </w:rPr>
        <w:t>由</w:t>
      </w:r>
      <w:r>
        <w:rPr>
          <w:rFonts w:hint="eastAsia"/>
          <w:color w:val="auto"/>
        </w:rPr>
        <w:t>河南省仁泰建筑工程有限公司</w:t>
      </w:r>
      <w:r>
        <w:rPr>
          <w:rFonts w:hint="eastAsia"/>
          <w:color w:val="auto"/>
          <w:lang w:val="en-US" w:eastAsia="zh-CN"/>
        </w:rPr>
        <w:t>承担</w:t>
      </w:r>
      <w:r>
        <w:rPr>
          <w:rFonts w:hint="eastAsia"/>
          <w:color w:val="auto"/>
          <w:highlight w:val="none"/>
        </w:rPr>
        <w:t>南教学楼改造</w:t>
      </w:r>
      <w:r>
        <w:rPr>
          <w:color w:val="auto"/>
          <w:highlight w:val="none"/>
        </w:rPr>
        <w:t>工程</w:t>
      </w:r>
      <w:r>
        <w:rPr>
          <w:rFonts w:hint="eastAsia"/>
          <w:color w:val="auto"/>
          <w:highlight w:val="none"/>
          <w:lang w:val="en-US" w:eastAsia="zh-CN"/>
        </w:rPr>
        <w:t>的施工工作</w:t>
      </w:r>
      <w:r>
        <w:rPr>
          <w:rFonts w:hint="eastAsia"/>
          <w:color w:val="auto"/>
          <w:highlight w:val="none"/>
          <w:lang w:eastAsia="zh-CN"/>
        </w:rPr>
        <w:t>，</w:t>
      </w:r>
      <w:r>
        <w:rPr>
          <w:rFonts w:hint="eastAsia"/>
          <w:color w:val="auto"/>
          <w:highlight w:val="none"/>
          <w:lang w:val="en-US" w:eastAsia="zh-CN"/>
        </w:rPr>
        <w:t>合同金额336.30万元，</w:t>
      </w:r>
      <w:r>
        <w:rPr>
          <w:rFonts w:hint="eastAsia"/>
          <w:color w:val="auto"/>
        </w:rPr>
        <w:t>合同约定工期</w:t>
      </w:r>
      <w:r>
        <w:rPr>
          <w:color w:val="auto"/>
        </w:rPr>
        <w:t>为202</w:t>
      </w:r>
      <w:r>
        <w:rPr>
          <w:rFonts w:hint="eastAsia"/>
          <w:color w:val="auto"/>
          <w:lang w:val="en-US" w:eastAsia="zh-CN"/>
        </w:rPr>
        <w:t>2</w:t>
      </w:r>
      <w:r>
        <w:rPr>
          <w:color w:val="auto"/>
        </w:rPr>
        <w:t>年</w:t>
      </w:r>
      <w:r>
        <w:rPr>
          <w:rFonts w:hint="eastAsia"/>
          <w:color w:val="auto"/>
          <w:lang w:val="en-US" w:eastAsia="zh-CN"/>
        </w:rPr>
        <w:t>7</w:t>
      </w:r>
      <w:r>
        <w:rPr>
          <w:color w:val="auto"/>
        </w:rPr>
        <w:t>月</w:t>
      </w:r>
      <w:r>
        <w:rPr>
          <w:rFonts w:hint="eastAsia"/>
          <w:color w:val="auto"/>
          <w:lang w:val="en-US" w:eastAsia="zh-CN"/>
        </w:rPr>
        <w:t>2</w:t>
      </w:r>
      <w:r>
        <w:rPr>
          <w:color w:val="auto"/>
        </w:rPr>
        <w:t>1日至202</w:t>
      </w:r>
      <w:r>
        <w:rPr>
          <w:rFonts w:hint="eastAsia"/>
          <w:color w:val="auto"/>
          <w:lang w:val="en-US" w:eastAsia="zh-CN"/>
        </w:rPr>
        <w:t>3</w:t>
      </w:r>
      <w:r>
        <w:rPr>
          <w:color w:val="auto"/>
        </w:rPr>
        <w:t>年</w:t>
      </w:r>
      <w:r>
        <w:rPr>
          <w:rFonts w:hint="eastAsia"/>
          <w:color w:val="auto"/>
          <w:lang w:val="en-US" w:eastAsia="zh-CN"/>
        </w:rPr>
        <w:t>1</w:t>
      </w:r>
      <w:r>
        <w:rPr>
          <w:color w:val="auto"/>
        </w:rPr>
        <w:t>月</w:t>
      </w:r>
      <w:r>
        <w:rPr>
          <w:rFonts w:hint="eastAsia"/>
          <w:color w:val="auto"/>
          <w:lang w:val="en-US" w:eastAsia="zh-CN"/>
        </w:rPr>
        <w:t>16</w:t>
      </w:r>
      <w:r>
        <w:rPr>
          <w:color w:val="auto"/>
        </w:rPr>
        <w:t>日</w:t>
      </w:r>
      <w:r>
        <w:rPr>
          <w:rFonts w:hint="eastAsia"/>
          <w:color w:val="auto"/>
        </w:rPr>
        <w:t>。</w:t>
      </w:r>
    </w:p>
    <w:p w14:paraId="15BA3A72">
      <w:pPr>
        <w:keepNext w:val="0"/>
        <w:keepLines w:val="0"/>
        <w:pageBreakBefore w:val="0"/>
        <w:widowControl/>
        <w:kinsoku/>
        <w:wordWrap/>
        <w:overflowPunct/>
        <w:topLinePunct w:val="0"/>
        <w:autoSpaceDE/>
        <w:autoSpaceDN/>
        <w:bidi w:val="0"/>
        <w:spacing w:line="580" w:lineRule="exact"/>
        <w:ind w:firstLine="640"/>
        <w:jc w:val="left"/>
        <w:textAlignment w:val="auto"/>
        <w:rPr>
          <w:rFonts w:hint="default" w:eastAsia="仿宋_GB2312"/>
          <w:color w:val="auto"/>
          <w:lang w:val="en-US" w:eastAsia="zh-CN"/>
        </w:rPr>
      </w:pPr>
      <w:r>
        <w:rPr>
          <w:rFonts w:hint="eastAsia"/>
          <w:color w:val="auto"/>
        </w:rPr>
        <w:t>项目</w:t>
      </w:r>
      <w:r>
        <w:rPr>
          <w:rFonts w:hint="eastAsia"/>
          <w:color w:val="auto"/>
          <w:lang w:val="en-US" w:eastAsia="zh-CN"/>
        </w:rPr>
        <w:t>于</w:t>
      </w:r>
      <w:r>
        <w:rPr>
          <w:color w:val="auto"/>
        </w:rPr>
        <w:t>202</w:t>
      </w:r>
      <w:r>
        <w:rPr>
          <w:rFonts w:hint="eastAsia"/>
          <w:color w:val="auto"/>
          <w:lang w:val="en-US" w:eastAsia="zh-CN"/>
        </w:rPr>
        <w:t>2</w:t>
      </w:r>
      <w:r>
        <w:rPr>
          <w:color w:val="auto"/>
        </w:rPr>
        <w:t>年</w:t>
      </w:r>
      <w:r>
        <w:rPr>
          <w:rFonts w:hint="eastAsia"/>
          <w:color w:val="auto"/>
          <w:lang w:val="en-US" w:eastAsia="zh-CN"/>
        </w:rPr>
        <w:t>7</w:t>
      </w:r>
      <w:r>
        <w:rPr>
          <w:color w:val="auto"/>
        </w:rPr>
        <w:t>月1</w:t>
      </w:r>
      <w:r>
        <w:rPr>
          <w:rFonts w:hint="eastAsia"/>
          <w:color w:val="auto"/>
          <w:lang w:val="en-US" w:eastAsia="zh-CN"/>
        </w:rPr>
        <w:t>5</w:t>
      </w:r>
      <w:r>
        <w:rPr>
          <w:color w:val="auto"/>
        </w:rPr>
        <w:t>日</w:t>
      </w:r>
      <w:r>
        <w:rPr>
          <w:rFonts w:hint="eastAsia"/>
          <w:color w:val="auto"/>
          <w:lang w:val="en-US" w:eastAsia="zh-CN"/>
        </w:rPr>
        <w:t>开工，</w:t>
      </w:r>
      <w:r>
        <w:rPr>
          <w:color w:val="auto"/>
        </w:rPr>
        <w:t>202</w:t>
      </w:r>
      <w:r>
        <w:rPr>
          <w:rFonts w:hint="eastAsia"/>
          <w:color w:val="auto"/>
          <w:lang w:val="en-US" w:eastAsia="zh-CN"/>
        </w:rPr>
        <w:t>2</w:t>
      </w:r>
      <w:r>
        <w:rPr>
          <w:color w:val="auto"/>
        </w:rPr>
        <w:t>年</w:t>
      </w:r>
      <w:r>
        <w:rPr>
          <w:rFonts w:hint="eastAsia"/>
          <w:color w:val="auto"/>
          <w:lang w:val="en-US" w:eastAsia="zh-CN"/>
        </w:rPr>
        <w:t>12</w:t>
      </w:r>
      <w:r>
        <w:rPr>
          <w:color w:val="auto"/>
        </w:rPr>
        <w:t>月</w:t>
      </w:r>
      <w:r>
        <w:rPr>
          <w:rFonts w:hint="eastAsia"/>
          <w:color w:val="auto"/>
          <w:lang w:val="en-US" w:eastAsia="zh-CN"/>
        </w:rPr>
        <w:t>9</w:t>
      </w:r>
      <w:r>
        <w:rPr>
          <w:color w:val="auto"/>
        </w:rPr>
        <w:t>日</w:t>
      </w:r>
      <w:r>
        <w:rPr>
          <w:rFonts w:hint="eastAsia"/>
          <w:color w:val="auto"/>
          <w:lang w:val="en-US" w:eastAsia="zh-CN"/>
        </w:rPr>
        <w:t>竣工验收</w:t>
      </w:r>
      <w:r>
        <w:rPr>
          <w:rFonts w:hint="eastAsia"/>
          <w:color w:val="auto"/>
          <w:highlight w:val="none"/>
          <w:lang w:eastAsia="zh-CN"/>
        </w:rPr>
        <w:t>，</w:t>
      </w:r>
      <w:r>
        <w:rPr>
          <w:rFonts w:hint="eastAsia"/>
          <w:color w:val="auto"/>
          <w:highlight w:val="none"/>
          <w:lang w:val="en-US" w:eastAsia="zh-CN"/>
        </w:rPr>
        <w:t>竣工验收报告由建设单位、监理单位、设计单位、施工单位共同签署，验收合格。</w:t>
      </w:r>
    </w:p>
    <w:p w14:paraId="7D48CFB3">
      <w:pPr>
        <w:pStyle w:val="2"/>
        <w:keepNext w:val="0"/>
        <w:keepLines w:val="0"/>
        <w:pageBreakBefore w:val="0"/>
        <w:kinsoku/>
        <w:wordWrap/>
        <w:overflowPunct/>
        <w:topLinePunct w:val="0"/>
        <w:autoSpaceDE/>
        <w:autoSpaceDN/>
        <w:bidi w:val="0"/>
        <w:adjustRightInd w:val="0"/>
        <w:snapToGrid w:val="0"/>
        <w:spacing w:line="580" w:lineRule="exact"/>
        <w:ind w:left="0" w:leftChars="0" w:firstLine="0" w:firstLineChars="0"/>
        <w:textAlignment w:val="auto"/>
        <w:rPr>
          <w:color w:val="auto"/>
        </w:rPr>
      </w:pPr>
      <w:bookmarkStart w:id="101" w:name="_Toc32368"/>
      <w:bookmarkStart w:id="102" w:name="_Toc6651"/>
      <w:r>
        <w:rPr>
          <w:color w:val="auto"/>
        </w:rPr>
        <w:t>二、</w:t>
      </w:r>
      <w:bookmarkEnd w:id="101"/>
      <w:bookmarkStart w:id="103" w:name="_Toc21395"/>
      <w:r>
        <w:rPr>
          <w:color w:val="auto"/>
        </w:rPr>
        <w:t>综合评价情况与评价结论</w:t>
      </w:r>
      <w:bookmarkEnd w:id="102"/>
      <w:bookmarkEnd w:id="103"/>
    </w:p>
    <w:p w14:paraId="1B879924">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（一）综合评价情况</w:t>
      </w:r>
    </w:p>
    <w:p w14:paraId="3C9D0DFC">
      <w:pPr>
        <w:keepNext w:val="0"/>
        <w:keepLines w:val="0"/>
        <w:pageBreakBefore w:val="0"/>
        <w:kinsoku/>
        <w:wordWrap/>
        <w:overflowPunct/>
        <w:topLinePunct w:val="0"/>
        <w:autoSpaceDE/>
        <w:autoSpaceDN/>
        <w:bidi w:val="0"/>
        <w:adjustRightInd w:val="0"/>
        <w:snapToGrid w:val="0"/>
        <w:spacing w:line="580" w:lineRule="exact"/>
        <w:ind w:firstLine="640"/>
        <w:textAlignment w:val="auto"/>
        <w:rPr>
          <w:color w:val="auto"/>
        </w:rPr>
      </w:pPr>
      <w:r>
        <w:rPr>
          <w:color w:val="auto"/>
        </w:rPr>
        <w:t>评价认为，</w:t>
      </w:r>
      <w:r>
        <w:rPr>
          <w:rFonts w:hint="eastAsia"/>
          <w:color w:val="auto"/>
          <w:lang w:val="en-US" w:eastAsia="zh-CN"/>
        </w:rPr>
        <w:t>该</w:t>
      </w:r>
      <w:r>
        <w:rPr>
          <w:rFonts w:hint="eastAsia"/>
          <w:color w:val="auto"/>
        </w:rPr>
        <w:t>项目</w:t>
      </w:r>
      <w:r>
        <w:rPr>
          <w:color w:val="auto"/>
        </w:rPr>
        <w:t>的设立符合国家发展规划及相关政策，项目单位业务管理制度健全，</w:t>
      </w:r>
      <w:r>
        <w:rPr>
          <w:rFonts w:hint="eastAsia"/>
          <w:color w:val="auto"/>
          <w:lang w:eastAsia="zh-CN"/>
        </w:rPr>
        <w:t>教学楼</w:t>
      </w:r>
      <w:r>
        <w:rPr>
          <w:color w:val="auto"/>
        </w:rPr>
        <w:t>的</w:t>
      </w:r>
      <w:r>
        <w:rPr>
          <w:rFonts w:hint="eastAsia"/>
          <w:color w:val="auto"/>
          <w:lang w:eastAsia="zh-CN"/>
        </w:rPr>
        <w:t>改造</w:t>
      </w:r>
      <w:r>
        <w:rPr>
          <w:rFonts w:hint="eastAsia"/>
          <w:color w:val="auto"/>
        </w:rPr>
        <w:t>消除</w:t>
      </w:r>
      <w:r>
        <w:rPr>
          <w:rFonts w:hint="eastAsia"/>
          <w:color w:val="auto"/>
          <w:lang w:eastAsia="zh-CN"/>
        </w:rPr>
        <w:t>了</w:t>
      </w:r>
      <w:r>
        <w:rPr>
          <w:rFonts w:hint="eastAsia"/>
          <w:color w:val="auto"/>
        </w:rPr>
        <w:t>安全隐患，提升了义马市外国语小学整体形象</w:t>
      </w:r>
      <w:r>
        <w:rPr>
          <w:color w:val="auto"/>
        </w:rPr>
        <w:t>，具有一定的社会效益。但存在</w:t>
      </w:r>
      <w:r>
        <w:rPr>
          <w:rFonts w:hint="eastAsia"/>
          <w:color w:val="auto"/>
          <w:lang w:eastAsia="zh-CN"/>
        </w:rPr>
        <w:t>教学楼改造后闲置未充分发挥作用</w:t>
      </w:r>
      <w:r>
        <w:rPr>
          <w:color w:val="auto"/>
        </w:rPr>
        <w:t>、</w:t>
      </w:r>
      <w:r>
        <w:rPr>
          <w:rFonts w:hint="eastAsia"/>
          <w:color w:val="auto"/>
          <w:lang w:eastAsia="zh-CN"/>
        </w:rPr>
        <w:t>投资超批复、未按合同约定付款</w:t>
      </w:r>
      <w:r>
        <w:rPr>
          <w:color w:val="auto"/>
        </w:rPr>
        <w:t>等问题。</w:t>
      </w:r>
    </w:p>
    <w:p w14:paraId="467E1C8A">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 xml:space="preserve">（二）总体评价结论 </w:t>
      </w:r>
    </w:p>
    <w:p w14:paraId="64196796">
      <w:pPr>
        <w:keepNext w:val="0"/>
        <w:keepLines w:val="0"/>
        <w:pageBreakBefore w:val="0"/>
        <w:kinsoku/>
        <w:wordWrap/>
        <w:overflowPunct/>
        <w:topLinePunct w:val="0"/>
        <w:autoSpaceDE/>
        <w:autoSpaceDN/>
        <w:bidi w:val="0"/>
        <w:adjustRightInd w:val="0"/>
        <w:snapToGrid w:val="0"/>
        <w:spacing w:line="580" w:lineRule="exact"/>
        <w:ind w:firstLine="640"/>
        <w:textAlignment w:val="auto"/>
        <w:rPr>
          <w:color w:val="auto"/>
        </w:rPr>
      </w:pPr>
      <w:r>
        <w:rPr>
          <w:color w:val="auto"/>
        </w:rPr>
        <w:t>根据评价指标体系和评分标准对每个指标分别评分，汇总后得出</w:t>
      </w:r>
      <w:r>
        <w:rPr>
          <w:rFonts w:hint="eastAsia"/>
          <w:color w:val="auto"/>
        </w:rPr>
        <w:t>义马市外国语小学南教学楼改造项目</w:t>
      </w:r>
      <w:r>
        <w:rPr>
          <w:color w:val="auto"/>
        </w:rPr>
        <w:t>财政支出绩效评价最终分数为</w:t>
      </w:r>
      <w:r>
        <w:rPr>
          <w:rFonts w:hint="eastAsia"/>
          <w:color w:val="auto"/>
          <w:lang w:val="en-US" w:eastAsia="zh-CN"/>
        </w:rPr>
        <w:t>69.77</w:t>
      </w:r>
      <w:r>
        <w:rPr>
          <w:color w:val="auto"/>
        </w:rPr>
        <w:t>分，按照财政部《关于印发&lt;项目支出绩效评价管理办法&gt;的通知》（财预〔2020〕10号）明确的90（含）</w:t>
      </w:r>
      <w:r>
        <w:rPr>
          <w:rFonts w:ascii="仿宋_GB2312"/>
          <w:color w:val="auto"/>
        </w:rPr>
        <w:t>-</w:t>
      </w:r>
      <w:r>
        <w:rPr>
          <w:color w:val="auto"/>
        </w:rPr>
        <w:t>100分为优、80（含）</w:t>
      </w:r>
      <w:r>
        <w:rPr>
          <w:rFonts w:ascii="仿宋_GB2312"/>
          <w:color w:val="auto"/>
        </w:rPr>
        <w:t>-</w:t>
      </w:r>
      <w:r>
        <w:rPr>
          <w:color w:val="auto"/>
        </w:rPr>
        <w:t>90分为良、60（含）</w:t>
      </w:r>
      <w:r>
        <w:rPr>
          <w:rFonts w:ascii="仿宋_GB2312"/>
          <w:color w:val="auto"/>
        </w:rPr>
        <w:t>-</w:t>
      </w:r>
      <w:r>
        <w:rPr>
          <w:color w:val="auto"/>
        </w:rPr>
        <w:t>80分为中、60分以下为差的评价等级设置，该项目评价等级为</w:t>
      </w:r>
      <w:r>
        <w:rPr>
          <w:rFonts w:hint="eastAsia"/>
          <w:color w:val="auto"/>
          <w:lang w:eastAsia="zh-CN"/>
        </w:rPr>
        <w:t>“中”</w:t>
      </w:r>
      <w:r>
        <w:rPr>
          <w:color w:val="auto"/>
        </w:rPr>
        <w:t>。具体指标体系及评价得分情况详见附件</w:t>
      </w:r>
      <w:r>
        <w:rPr>
          <w:rFonts w:hint="eastAsia"/>
          <w:color w:val="auto"/>
          <w:lang w:eastAsia="zh-CN"/>
        </w:rPr>
        <w:t>：</w:t>
      </w:r>
      <w:r>
        <w:rPr>
          <w:rFonts w:hint="eastAsia"/>
        </w:rPr>
        <w:t>义马市外国语小学南教学楼改造项目</w:t>
      </w:r>
      <w:r>
        <w:t>综合评分表</w:t>
      </w:r>
      <w:r>
        <w:rPr>
          <w:color w:val="auto"/>
        </w:rPr>
        <w:t>。</w:t>
      </w:r>
    </w:p>
    <w:p w14:paraId="275C3B31">
      <w:pPr>
        <w:spacing w:line="560" w:lineRule="exact"/>
        <w:ind w:firstLine="0" w:firstLineChars="0"/>
        <w:jc w:val="center"/>
        <w:outlineLvl w:val="0"/>
        <w:rPr>
          <w:rFonts w:hint="eastAsia" w:eastAsia="仿宋_GB2312"/>
          <w:lang w:val="en-US" w:eastAsia="zh-CN"/>
        </w:rPr>
      </w:pPr>
      <w:bookmarkStart w:id="104" w:name="_Toc14806"/>
      <w:bookmarkStart w:id="105" w:name="_Toc24446"/>
      <w:bookmarkStart w:id="106" w:name="_Toc22593"/>
      <w:bookmarkStart w:id="107" w:name="_Toc19835"/>
      <w:bookmarkStart w:id="108" w:name="_Toc30248"/>
      <w:bookmarkStart w:id="109" w:name="_Toc22324"/>
      <w:r>
        <w:rPr>
          <w:rFonts w:hint="eastAsia" w:ascii="仿宋_GB2312" w:hAnsi="宋体" w:cs="宋体"/>
          <w:b/>
          <w:bCs/>
          <w:sz w:val="28"/>
          <w:szCs w:val="28"/>
        </w:rPr>
        <w:t>项目绩效评价得分情况表</w:t>
      </w:r>
      <w:r>
        <w:rPr>
          <w:rFonts w:hint="eastAsia" w:ascii="仿宋_GB2312" w:hAnsi="宋体" w:cs="宋体"/>
          <w:b/>
          <w:bCs/>
          <w:sz w:val="28"/>
          <w:szCs w:val="28"/>
          <w:lang w:val="en-US" w:eastAsia="zh-CN"/>
        </w:rPr>
        <w:t>一</w:t>
      </w:r>
      <w:bookmarkEnd w:id="104"/>
      <w:bookmarkEnd w:id="105"/>
      <w:bookmarkEnd w:id="106"/>
      <w:bookmarkEnd w:id="107"/>
      <w:bookmarkEnd w:id="108"/>
      <w:bookmarkEnd w:id="109"/>
    </w:p>
    <w:tbl>
      <w:tblPr>
        <w:tblStyle w:val="12"/>
        <w:tblW w:w="85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61"/>
        <w:gridCol w:w="1346"/>
        <w:gridCol w:w="1346"/>
        <w:gridCol w:w="1346"/>
        <w:gridCol w:w="1371"/>
        <w:gridCol w:w="1347"/>
      </w:tblGrid>
      <w:tr w14:paraId="35FD6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2C5DB003">
            <w:pPr>
              <w:widowControl/>
              <w:ind w:firstLine="0" w:firstLineChars="0"/>
              <w:jc w:val="center"/>
              <w:textAlignment w:val="bottom"/>
              <w:rPr>
                <w:b/>
                <w:bCs/>
                <w:sz w:val="24"/>
              </w:rPr>
            </w:pPr>
            <w:r>
              <w:rPr>
                <w:b/>
                <w:bCs/>
                <w:kern w:val="0"/>
                <w:sz w:val="24"/>
              </w:rPr>
              <w:t>一级指标</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163313DE">
            <w:pPr>
              <w:widowControl/>
              <w:ind w:firstLine="0" w:firstLineChars="0"/>
              <w:jc w:val="center"/>
              <w:textAlignment w:val="bottom"/>
              <w:rPr>
                <w:b/>
                <w:bCs/>
                <w:sz w:val="24"/>
              </w:rPr>
            </w:pPr>
            <w:r>
              <w:rPr>
                <w:b/>
                <w:bCs/>
                <w:kern w:val="0"/>
                <w:sz w:val="24"/>
              </w:rPr>
              <w:t>决策</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70C8712">
            <w:pPr>
              <w:widowControl/>
              <w:ind w:firstLine="0" w:firstLineChars="0"/>
              <w:jc w:val="center"/>
              <w:textAlignment w:val="bottom"/>
              <w:rPr>
                <w:b/>
                <w:bCs/>
                <w:sz w:val="24"/>
              </w:rPr>
            </w:pPr>
            <w:r>
              <w:rPr>
                <w:b/>
                <w:bCs/>
                <w:kern w:val="0"/>
                <w:sz w:val="24"/>
              </w:rPr>
              <w:t>过程</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32A79FE5">
            <w:pPr>
              <w:widowControl/>
              <w:ind w:firstLine="0" w:firstLineChars="0"/>
              <w:jc w:val="center"/>
              <w:textAlignment w:val="bottom"/>
              <w:rPr>
                <w:b/>
                <w:bCs/>
                <w:sz w:val="24"/>
              </w:rPr>
            </w:pPr>
            <w:r>
              <w:rPr>
                <w:b/>
                <w:bCs/>
                <w:kern w:val="0"/>
                <w:sz w:val="24"/>
              </w:rPr>
              <w:t>产出</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7F83148A">
            <w:pPr>
              <w:widowControl/>
              <w:ind w:firstLine="0" w:firstLineChars="0"/>
              <w:jc w:val="center"/>
              <w:textAlignment w:val="bottom"/>
              <w:rPr>
                <w:b/>
                <w:bCs/>
                <w:sz w:val="24"/>
              </w:rPr>
            </w:pPr>
            <w:r>
              <w:rPr>
                <w:b/>
                <w:bCs/>
                <w:kern w:val="0"/>
                <w:sz w:val="24"/>
              </w:rPr>
              <w:t>效益</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75521EBD">
            <w:pPr>
              <w:widowControl/>
              <w:ind w:firstLine="0" w:firstLineChars="0"/>
              <w:jc w:val="center"/>
              <w:textAlignment w:val="bottom"/>
              <w:rPr>
                <w:b/>
                <w:bCs/>
                <w:sz w:val="24"/>
              </w:rPr>
            </w:pPr>
            <w:r>
              <w:rPr>
                <w:b/>
                <w:bCs/>
                <w:kern w:val="0"/>
                <w:sz w:val="24"/>
              </w:rPr>
              <w:t>合计</w:t>
            </w:r>
          </w:p>
        </w:tc>
      </w:tr>
      <w:tr w14:paraId="5C3B8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44450A72">
            <w:pPr>
              <w:widowControl/>
              <w:ind w:firstLine="0" w:firstLineChars="0"/>
              <w:jc w:val="center"/>
              <w:textAlignment w:val="bottom"/>
              <w:rPr>
                <w:b/>
                <w:sz w:val="24"/>
              </w:rPr>
            </w:pPr>
            <w:r>
              <w:rPr>
                <w:b/>
                <w:kern w:val="0"/>
                <w:sz w:val="24"/>
              </w:rPr>
              <w:t>分值</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4939492E">
            <w:pPr>
              <w:widowControl/>
              <w:ind w:firstLine="0" w:firstLineChars="0"/>
              <w:jc w:val="right"/>
              <w:textAlignment w:val="center"/>
              <w:rPr>
                <w:sz w:val="24"/>
              </w:rPr>
            </w:pPr>
            <w:r>
              <w:rPr>
                <w:color w:val="auto"/>
                <w:kern w:val="0"/>
                <w:sz w:val="24"/>
              </w:rPr>
              <w:t>15</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611794DF">
            <w:pPr>
              <w:widowControl/>
              <w:ind w:firstLine="0" w:firstLineChars="0"/>
              <w:jc w:val="right"/>
              <w:textAlignment w:val="center"/>
              <w:rPr>
                <w:sz w:val="24"/>
              </w:rPr>
            </w:pPr>
            <w:r>
              <w:rPr>
                <w:color w:val="auto"/>
                <w:kern w:val="0"/>
                <w:sz w:val="24"/>
              </w:rPr>
              <w:t>30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6AECA3DE">
            <w:pPr>
              <w:widowControl/>
              <w:ind w:left="0" w:leftChars="0" w:firstLine="0" w:firstLineChars="0"/>
              <w:jc w:val="right"/>
              <w:textAlignment w:val="center"/>
              <w:rPr>
                <w:sz w:val="24"/>
              </w:rPr>
            </w:pPr>
            <w:r>
              <w:rPr>
                <w:rFonts w:eastAsia="宋体"/>
                <w:color w:val="auto"/>
                <w:kern w:val="0"/>
                <w:sz w:val="24"/>
              </w:rPr>
              <w:t>25</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11FEFD4D">
            <w:pPr>
              <w:widowControl/>
              <w:ind w:left="0" w:leftChars="0" w:firstLine="0" w:firstLineChars="0"/>
              <w:jc w:val="right"/>
              <w:textAlignment w:val="center"/>
              <w:rPr>
                <w:sz w:val="24"/>
              </w:rPr>
            </w:pPr>
            <w:r>
              <w:rPr>
                <w:rFonts w:eastAsia="宋体"/>
                <w:color w:val="auto"/>
                <w:kern w:val="0"/>
                <w:sz w:val="24"/>
              </w:rPr>
              <w:t>30</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5650D37B">
            <w:pPr>
              <w:widowControl/>
              <w:ind w:firstLine="0" w:firstLineChars="0"/>
              <w:jc w:val="right"/>
              <w:textAlignment w:val="center"/>
              <w:rPr>
                <w:sz w:val="24"/>
              </w:rPr>
            </w:pPr>
            <w:r>
              <w:rPr>
                <w:color w:val="auto"/>
                <w:kern w:val="0"/>
                <w:sz w:val="24"/>
              </w:rPr>
              <w:t>100</w:t>
            </w:r>
          </w:p>
        </w:tc>
      </w:tr>
      <w:tr w14:paraId="48DE1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2A3353CF">
            <w:pPr>
              <w:widowControl/>
              <w:ind w:firstLine="0" w:firstLineChars="0"/>
              <w:jc w:val="center"/>
              <w:textAlignment w:val="bottom"/>
              <w:rPr>
                <w:b/>
                <w:sz w:val="24"/>
              </w:rPr>
            </w:pPr>
            <w:r>
              <w:rPr>
                <w:b/>
                <w:kern w:val="0"/>
                <w:sz w:val="24"/>
              </w:rPr>
              <w:t>得分</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2F150395">
            <w:pPr>
              <w:keepNext w:val="0"/>
              <w:keepLines w:val="0"/>
              <w:widowControl/>
              <w:suppressLineNumbers w:val="0"/>
              <w:ind w:firstLine="480" w:firstLineChars="200"/>
              <w:jc w:val="right"/>
              <w:textAlignment w:val="center"/>
              <w:rPr>
                <w:rFonts w:hint="default" w:eastAsia="仿宋_GB2312"/>
                <w:sz w:val="24"/>
                <w:lang w:val="en-US" w:eastAsia="zh-CN"/>
              </w:rPr>
            </w:pPr>
            <w:r>
              <w:rPr>
                <w:rFonts w:hint="eastAsia" w:eastAsia="宋体" w:cs="Times New Roman"/>
                <w:i w:val="0"/>
                <w:iCs w:val="0"/>
                <w:color w:val="000000"/>
                <w:kern w:val="0"/>
                <w:sz w:val="24"/>
                <w:szCs w:val="24"/>
                <w:highlight w:val="none"/>
                <w:u w:val="none"/>
                <w:lang w:val="en-US" w:eastAsia="zh-CN" w:bidi="ar"/>
              </w:rPr>
              <w:t>7.30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9FF7F2D">
            <w:pPr>
              <w:keepNext w:val="0"/>
              <w:keepLines w:val="0"/>
              <w:widowControl/>
              <w:suppressLineNumbers w:val="0"/>
              <w:ind w:firstLine="480" w:firstLineChars="200"/>
              <w:jc w:val="right"/>
              <w:textAlignment w:val="center"/>
              <w:rPr>
                <w:rFonts w:hint="default" w:eastAsia="仿宋_GB2312"/>
                <w:sz w:val="24"/>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1</w:t>
            </w:r>
            <w:r>
              <w:rPr>
                <w:rFonts w:hint="eastAsia" w:eastAsia="宋体" w:cs="Times New Roman"/>
                <w:i w:val="0"/>
                <w:iCs w:val="0"/>
                <w:color w:val="000000"/>
                <w:kern w:val="0"/>
                <w:sz w:val="24"/>
                <w:szCs w:val="24"/>
                <w:highlight w:val="none"/>
                <w:u w:val="none"/>
                <w:lang w:val="en-US" w:eastAsia="zh-CN" w:bidi="ar"/>
              </w:rPr>
              <w:t>8</w:t>
            </w:r>
            <w:r>
              <w:rPr>
                <w:rFonts w:hint="default" w:ascii="Times New Roman" w:hAnsi="Times New Roman" w:eastAsia="宋体" w:cs="Times New Roman"/>
                <w:i w:val="0"/>
                <w:iCs w:val="0"/>
                <w:color w:val="000000"/>
                <w:kern w:val="0"/>
                <w:sz w:val="24"/>
                <w:szCs w:val="24"/>
                <w:highlight w:val="none"/>
                <w:u w:val="none"/>
                <w:lang w:val="en-US" w:eastAsia="zh-CN" w:bidi="ar"/>
              </w:rPr>
              <w:t>.25</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023B83EE">
            <w:pPr>
              <w:widowControl/>
              <w:ind w:left="0" w:leftChars="0" w:firstLine="0" w:firstLineChars="0"/>
              <w:jc w:val="right"/>
              <w:textAlignment w:val="center"/>
              <w:rPr>
                <w:rFonts w:hint="default" w:eastAsia="仿宋_GB2312"/>
                <w:sz w:val="24"/>
                <w:lang w:val="en-US" w:eastAsia="zh-CN"/>
              </w:rPr>
            </w:pPr>
            <w:r>
              <w:rPr>
                <w:rFonts w:hint="eastAsia" w:eastAsia="宋体"/>
                <w:color w:val="auto"/>
                <w:kern w:val="0"/>
                <w:sz w:val="24"/>
                <w:highlight w:val="none"/>
                <w:lang w:val="en-US" w:eastAsia="zh-CN"/>
              </w:rPr>
              <w:t>25.00</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4F5F852E">
            <w:pPr>
              <w:widowControl/>
              <w:ind w:left="0" w:leftChars="0" w:firstLine="0" w:firstLineChars="0"/>
              <w:jc w:val="right"/>
              <w:textAlignment w:val="center"/>
              <w:rPr>
                <w:rFonts w:hint="default" w:eastAsia="仿宋_GB2312"/>
                <w:sz w:val="24"/>
                <w:lang w:val="en-US" w:eastAsia="zh-CN"/>
              </w:rPr>
            </w:pPr>
            <w:r>
              <w:rPr>
                <w:rFonts w:hint="eastAsia" w:eastAsia="宋体"/>
                <w:color w:val="auto"/>
                <w:kern w:val="0"/>
                <w:sz w:val="24"/>
                <w:highlight w:val="none"/>
                <w:lang w:val="en-US" w:eastAsia="zh-CN"/>
              </w:rPr>
              <w:t>19.22</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283C28EB">
            <w:pPr>
              <w:widowControl/>
              <w:ind w:left="0" w:leftChars="0" w:firstLine="0" w:firstLineChars="0"/>
              <w:jc w:val="right"/>
              <w:textAlignment w:val="center"/>
              <w:rPr>
                <w:rFonts w:hint="default" w:eastAsia="仿宋_GB2312"/>
                <w:sz w:val="24"/>
                <w:lang w:val="en-US" w:eastAsia="zh-CN"/>
              </w:rPr>
            </w:pPr>
            <w:r>
              <w:rPr>
                <w:rFonts w:hint="eastAsia" w:eastAsia="宋体"/>
                <w:color w:val="auto"/>
                <w:kern w:val="0"/>
                <w:sz w:val="24"/>
                <w:highlight w:val="none"/>
                <w:lang w:val="en-US" w:eastAsia="zh-CN"/>
              </w:rPr>
              <w:t>69.77</w:t>
            </w:r>
          </w:p>
        </w:tc>
      </w:tr>
      <w:tr w14:paraId="294AC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0D1DFF8D">
            <w:pPr>
              <w:widowControl/>
              <w:ind w:firstLine="0" w:firstLineChars="0"/>
              <w:jc w:val="center"/>
              <w:textAlignment w:val="bottom"/>
              <w:rPr>
                <w:b/>
                <w:sz w:val="24"/>
              </w:rPr>
            </w:pPr>
            <w:r>
              <w:rPr>
                <w:b/>
                <w:kern w:val="0"/>
                <w:sz w:val="24"/>
              </w:rPr>
              <w:t>得分率</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352470C">
            <w:pPr>
              <w:keepNext w:val="0"/>
              <w:keepLines w:val="0"/>
              <w:widowControl/>
              <w:suppressLineNumbers w:val="0"/>
              <w:ind w:firstLine="0" w:firstLineChars="0"/>
              <w:jc w:val="right"/>
              <w:textAlignment w:val="center"/>
              <w:rPr>
                <w:sz w:val="24"/>
              </w:rPr>
            </w:pPr>
            <w:r>
              <w:rPr>
                <w:rFonts w:hint="eastAsia" w:eastAsia="宋体" w:cs="Times New Roman"/>
                <w:i w:val="0"/>
                <w:iCs w:val="0"/>
                <w:color w:val="000000"/>
                <w:kern w:val="0"/>
                <w:sz w:val="24"/>
                <w:szCs w:val="24"/>
                <w:highlight w:val="none"/>
                <w:u w:val="none"/>
                <w:lang w:val="en-US" w:eastAsia="zh-CN" w:bidi="ar"/>
              </w:rPr>
              <w:t>48.67</w:t>
            </w:r>
            <w:r>
              <w:rPr>
                <w:rFonts w:hint="default" w:ascii="Times New Roman" w:hAnsi="Times New Roman" w:eastAsia="宋体" w:cs="Times New Roman"/>
                <w:i w:val="0"/>
                <w:iCs w:val="0"/>
                <w:color w:val="000000"/>
                <w:kern w:val="0"/>
                <w:sz w:val="24"/>
                <w:szCs w:val="24"/>
                <w:highlight w:val="none"/>
                <w:u w:val="none"/>
                <w:lang w:val="en-US" w:eastAsia="zh-CN" w:bidi="ar"/>
              </w:rPr>
              <w:t>%</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29A7AF19">
            <w:pPr>
              <w:keepNext w:val="0"/>
              <w:keepLines w:val="0"/>
              <w:widowControl/>
              <w:suppressLineNumbers w:val="0"/>
              <w:ind w:firstLine="0" w:firstLineChars="0"/>
              <w:jc w:val="right"/>
              <w:textAlignment w:val="center"/>
              <w:rPr>
                <w:sz w:val="24"/>
              </w:rPr>
            </w:pPr>
            <w:r>
              <w:rPr>
                <w:rFonts w:hint="eastAsia" w:eastAsia="宋体" w:cs="Times New Roman"/>
                <w:i w:val="0"/>
                <w:iCs w:val="0"/>
                <w:color w:val="000000"/>
                <w:kern w:val="0"/>
                <w:sz w:val="24"/>
                <w:szCs w:val="24"/>
                <w:highlight w:val="none"/>
                <w:u w:val="none"/>
                <w:lang w:val="en-US" w:eastAsia="zh-CN" w:bidi="ar"/>
              </w:rPr>
              <w:t>60.83</w:t>
            </w:r>
            <w:r>
              <w:rPr>
                <w:rFonts w:hint="default" w:ascii="Times New Roman" w:hAnsi="Times New Roman" w:eastAsia="宋体" w:cs="Times New Roman"/>
                <w:i w:val="0"/>
                <w:iCs w:val="0"/>
                <w:color w:val="000000"/>
                <w:kern w:val="0"/>
                <w:sz w:val="24"/>
                <w:szCs w:val="24"/>
                <w:highlight w:val="none"/>
                <w:u w:val="none"/>
                <w:lang w:val="en-US" w:eastAsia="zh-CN" w:bidi="ar"/>
              </w:rPr>
              <w:t>%</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48B061DA">
            <w:pPr>
              <w:keepNext w:val="0"/>
              <w:keepLines w:val="0"/>
              <w:widowControl/>
              <w:suppressLineNumbers w:val="0"/>
              <w:ind w:left="0" w:leftChars="0" w:firstLine="0" w:firstLineChars="0"/>
              <w:jc w:val="right"/>
              <w:textAlignment w:val="center"/>
              <w:rPr>
                <w:sz w:val="24"/>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72899DC8">
            <w:pPr>
              <w:keepNext w:val="0"/>
              <w:keepLines w:val="0"/>
              <w:widowControl/>
              <w:suppressLineNumbers w:val="0"/>
              <w:ind w:left="0" w:leftChars="0" w:firstLine="0" w:firstLineChars="0"/>
              <w:jc w:val="right"/>
              <w:textAlignment w:val="center"/>
              <w:rPr>
                <w:sz w:val="24"/>
              </w:rPr>
            </w:pPr>
            <w:r>
              <w:rPr>
                <w:rFonts w:hint="eastAsia" w:eastAsia="宋体" w:cs="Times New Roman"/>
                <w:i w:val="0"/>
                <w:iCs w:val="0"/>
                <w:color w:val="000000"/>
                <w:kern w:val="0"/>
                <w:sz w:val="24"/>
                <w:szCs w:val="24"/>
                <w:highlight w:val="none"/>
                <w:u w:val="none"/>
                <w:lang w:val="en-US" w:eastAsia="zh-CN" w:bidi="ar"/>
              </w:rPr>
              <w:t>64.07</w:t>
            </w:r>
            <w:r>
              <w:rPr>
                <w:rFonts w:hint="default" w:ascii="Times New Roman" w:hAnsi="Times New Roman" w:eastAsia="宋体" w:cs="Times New Roman"/>
                <w:i w:val="0"/>
                <w:iCs w:val="0"/>
                <w:color w:val="000000"/>
                <w:kern w:val="0"/>
                <w:sz w:val="24"/>
                <w:szCs w:val="24"/>
                <w:highlight w:val="none"/>
                <w:u w:val="none"/>
                <w:lang w:val="en-US" w:eastAsia="zh-CN" w:bidi="ar"/>
              </w:rPr>
              <w:t>%</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5504CB8D">
            <w:pPr>
              <w:keepNext w:val="0"/>
              <w:keepLines w:val="0"/>
              <w:widowControl/>
              <w:suppressLineNumbers w:val="0"/>
              <w:ind w:left="0" w:leftChars="0" w:firstLine="0" w:firstLineChars="0"/>
              <w:jc w:val="right"/>
              <w:textAlignment w:val="center"/>
              <w:rPr>
                <w:sz w:val="24"/>
              </w:rPr>
            </w:pPr>
            <w:r>
              <w:rPr>
                <w:rFonts w:hint="eastAsia" w:eastAsia="宋体" w:cs="Times New Roman"/>
                <w:i w:val="0"/>
                <w:iCs w:val="0"/>
                <w:color w:val="000000"/>
                <w:kern w:val="0"/>
                <w:sz w:val="24"/>
                <w:szCs w:val="24"/>
                <w:highlight w:val="none"/>
                <w:u w:val="none"/>
                <w:lang w:val="en-US" w:eastAsia="zh-CN" w:bidi="ar"/>
              </w:rPr>
              <w:t>69.77</w:t>
            </w:r>
            <w:r>
              <w:rPr>
                <w:rFonts w:hint="default" w:ascii="Times New Roman" w:hAnsi="Times New Roman" w:eastAsia="宋体" w:cs="Times New Roman"/>
                <w:i w:val="0"/>
                <w:iCs w:val="0"/>
                <w:color w:val="000000"/>
                <w:kern w:val="0"/>
                <w:sz w:val="24"/>
                <w:szCs w:val="24"/>
                <w:highlight w:val="none"/>
                <w:u w:val="none"/>
                <w:lang w:val="en-US" w:eastAsia="zh-CN" w:bidi="ar"/>
              </w:rPr>
              <w:t>%</w:t>
            </w:r>
          </w:p>
        </w:tc>
      </w:tr>
    </w:tbl>
    <w:p w14:paraId="0A5781EA">
      <w:pPr>
        <w:pStyle w:val="6"/>
        <w:numPr>
          <w:ilvl w:val="0"/>
          <w:numId w:val="0"/>
        </w:numPr>
        <w:spacing w:line="560" w:lineRule="exact"/>
        <w:jc w:val="center"/>
        <w:outlineLvl w:val="0"/>
        <w:rPr>
          <w:rFonts w:hint="eastAsia" w:ascii="Times New Roman" w:hAnsi="Times New Roman" w:eastAsia="仿宋_GB2312" w:cs="Times New Roman"/>
          <w:lang w:val="en-US" w:eastAsia="zh-CN"/>
        </w:rPr>
      </w:pPr>
      <w:bookmarkStart w:id="110" w:name="_Toc6301"/>
      <w:bookmarkStart w:id="111" w:name="_Toc15680"/>
      <w:bookmarkStart w:id="112" w:name="_Toc13450"/>
      <w:bookmarkStart w:id="113" w:name="_Toc917"/>
      <w:bookmarkStart w:id="114" w:name="_Toc30320"/>
      <w:bookmarkStart w:id="115" w:name="_Toc26996"/>
      <w:bookmarkStart w:id="116" w:name="_Toc9459"/>
      <w:r>
        <w:rPr>
          <w:rFonts w:hint="eastAsia" w:ascii="仿宋_GB2312" w:hAnsi="宋体" w:eastAsia="仿宋_GB2312" w:cs="宋体"/>
          <w:b/>
          <w:bCs/>
        </w:rPr>
        <w:t>项目绩效评价得分情况表</w:t>
      </w:r>
      <w:r>
        <w:rPr>
          <w:rFonts w:hint="eastAsia" w:ascii="仿宋_GB2312" w:hAnsi="宋体" w:eastAsia="仿宋_GB2312" w:cs="宋体"/>
          <w:b/>
          <w:bCs/>
          <w:lang w:val="en-US" w:eastAsia="zh-CN"/>
        </w:rPr>
        <w:t>二</w:t>
      </w:r>
      <w:bookmarkEnd w:id="110"/>
      <w:bookmarkEnd w:id="111"/>
      <w:bookmarkEnd w:id="112"/>
      <w:bookmarkEnd w:id="113"/>
      <w:bookmarkEnd w:id="114"/>
      <w:bookmarkEnd w:id="115"/>
      <w:bookmarkEnd w:id="116"/>
    </w:p>
    <w:tbl>
      <w:tblPr>
        <w:tblStyle w:val="12"/>
        <w:tblW w:w="4998" w:type="pct"/>
        <w:tblInd w:w="0" w:type="dxa"/>
        <w:tblLayout w:type="autofit"/>
        <w:tblCellMar>
          <w:top w:w="0" w:type="dxa"/>
          <w:left w:w="108" w:type="dxa"/>
          <w:bottom w:w="0" w:type="dxa"/>
          <w:right w:w="108" w:type="dxa"/>
        </w:tblCellMar>
      </w:tblPr>
      <w:tblGrid>
        <w:gridCol w:w="1209"/>
        <w:gridCol w:w="3451"/>
        <w:gridCol w:w="1425"/>
        <w:gridCol w:w="1217"/>
        <w:gridCol w:w="1217"/>
      </w:tblGrid>
      <w:tr w14:paraId="0B195900">
        <w:tblPrEx>
          <w:tblCellMar>
            <w:top w:w="0" w:type="dxa"/>
            <w:left w:w="108" w:type="dxa"/>
            <w:bottom w:w="0" w:type="dxa"/>
            <w:right w:w="108" w:type="dxa"/>
          </w:tblCellMar>
        </w:tblPrEx>
        <w:trPr>
          <w:trHeight w:val="454" w:hRule="exact"/>
          <w:tblHeader/>
        </w:trPr>
        <w:tc>
          <w:tcPr>
            <w:tcW w:w="71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23B4C8">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一级指标</w:t>
            </w: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CDFA4D">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二级指标</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5CB397">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权重</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91999B1">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0B7E0FD">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得分率</w:t>
            </w:r>
          </w:p>
        </w:tc>
      </w:tr>
      <w:tr w14:paraId="678C1DDE">
        <w:tblPrEx>
          <w:tblCellMar>
            <w:top w:w="0" w:type="dxa"/>
            <w:left w:w="108" w:type="dxa"/>
            <w:bottom w:w="0" w:type="dxa"/>
            <w:right w:w="108" w:type="dxa"/>
          </w:tblCellMar>
        </w:tblPrEx>
        <w:trPr>
          <w:trHeight w:val="454" w:hRule="exact"/>
        </w:trPr>
        <w:tc>
          <w:tcPr>
            <w:tcW w:w="710"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6060A9F">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A决策</w:t>
            </w: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1264533">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A1项目立项</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6A22D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default" w:ascii="Times New Roman" w:hAnsi="Times New Roman" w:eastAsia="宋体" w:cs="Times New Roman"/>
                <w:i w:val="0"/>
                <w:iCs w:val="0"/>
                <w:color w:val="000000"/>
                <w:kern w:val="0"/>
                <w:sz w:val="24"/>
                <w:szCs w:val="24"/>
                <w:u w:val="none"/>
                <w:lang w:val="en-US" w:eastAsia="zh-CN" w:bidi="ar"/>
              </w:rPr>
              <w:t xml:space="preserve">5.00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F039A9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highlight w:val="none"/>
                <w:u w:val="none"/>
                <w:lang w:val="en-US" w:eastAsia="zh-CN" w:bidi="ar"/>
              </w:rPr>
              <w:t>5.00</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07499F">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68F244D5">
        <w:tblPrEx>
          <w:tblCellMar>
            <w:top w:w="0" w:type="dxa"/>
            <w:left w:w="108" w:type="dxa"/>
            <w:bottom w:w="0" w:type="dxa"/>
            <w:right w:w="108" w:type="dxa"/>
          </w:tblCellMar>
        </w:tblPrEx>
        <w:trPr>
          <w:trHeight w:val="454" w:hRule="exact"/>
        </w:trPr>
        <w:tc>
          <w:tcPr>
            <w:tcW w:w="710" w:type="pct"/>
            <w:vMerge w:val="continue"/>
            <w:tcBorders>
              <w:top w:val="single" w:color="auto" w:sz="4" w:space="0"/>
              <w:left w:val="single" w:color="auto" w:sz="4" w:space="0"/>
              <w:bottom w:val="single" w:color="auto" w:sz="4" w:space="0"/>
              <w:right w:val="single" w:color="auto" w:sz="4" w:space="0"/>
            </w:tcBorders>
            <w:vAlign w:val="center"/>
          </w:tcPr>
          <w:p w14:paraId="6571FDEC">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2A4A333">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A2绩效目标</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41DB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E64B2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2.30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9A9540">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46.00%</w:t>
            </w:r>
          </w:p>
        </w:tc>
      </w:tr>
      <w:tr w14:paraId="63D0C8AA">
        <w:tblPrEx>
          <w:tblCellMar>
            <w:top w:w="0" w:type="dxa"/>
            <w:left w:w="108" w:type="dxa"/>
            <w:bottom w:w="0" w:type="dxa"/>
            <w:right w:w="108" w:type="dxa"/>
          </w:tblCellMar>
        </w:tblPrEx>
        <w:trPr>
          <w:trHeight w:val="454" w:hRule="exact"/>
        </w:trPr>
        <w:tc>
          <w:tcPr>
            <w:tcW w:w="710" w:type="pct"/>
            <w:vMerge w:val="continue"/>
            <w:tcBorders>
              <w:top w:val="single" w:color="auto" w:sz="4" w:space="0"/>
              <w:left w:val="single" w:color="auto" w:sz="4" w:space="0"/>
              <w:bottom w:val="single" w:color="auto" w:sz="4" w:space="0"/>
              <w:right w:val="single" w:color="auto" w:sz="4" w:space="0"/>
            </w:tcBorders>
            <w:vAlign w:val="center"/>
          </w:tcPr>
          <w:p w14:paraId="2EA237C7">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single" w:color="auto" w:sz="4" w:space="0"/>
              <w:left w:val="nil"/>
              <w:bottom w:val="single" w:color="auto" w:sz="4" w:space="0"/>
              <w:right w:val="single" w:color="auto" w:sz="4" w:space="0"/>
            </w:tcBorders>
            <w:shd w:val="clear" w:color="auto" w:fill="auto"/>
            <w:noWrap/>
            <w:vAlign w:val="center"/>
          </w:tcPr>
          <w:p w14:paraId="3D9676F6">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eastAsia="zh-CN"/>
              </w:rPr>
            </w:pPr>
            <w:r>
              <w:rPr>
                <w:rFonts w:hint="eastAsia" w:ascii="Times New Roman" w:hAnsi="Times New Roman" w:eastAsia="仿宋_GB2312" w:cs="Times New Roman"/>
                <w:b/>
                <w:color w:val="000000"/>
                <w:sz w:val="24"/>
                <w:szCs w:val="24"/>
              </w:rPr>
              <w:t>A3资金</w:t>
            </w:r>
            <w:r>
              <w:rPr>
                <w:rFonts w:hint="eastAsia" w:ascii="Times New Roman" w:hAnsi="Times New Roman" w:eastAsia="仿宋_GB2312" w:cs="Times New Roman"/>
                <w:b/>
                <w:color w:val="000000"/>
                <w:sz w:val="24"/>
                <w:szCs w:val="24"/>
                <w:lang w:val="en-US" w:eastAsia="zh-CN"/>
              </w:rPr>
              <w:t>投入</w:t>
            </w:r>
          </w:p>
        </w:tc>
        <w:tc>
          <w:tcPr>
            <w:tcW w:w="836" w:type="pct"/>
            <w:tcBorders>
              <w:top w:val="single" w:color="auto" w:sz="4" w:space="0"/>
              <w:left w:val="nil"/>
              <w:bottom w:val="single" w:color="auto" w:sz="4" w:space="0"/>
              <w:right w:val="single" w:color="auto" w:sz="4" w:space="0"/>
            </w:tcBorders>
            <w:shd w:val="clear" w:color="auto" w:fill="auto"/>
            <w:noWrap/>
            <w:vAlign w:val="center"/>
          </w:tcPr>
          <w:p w14:paraId="5AEF2AE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nil"/>
              <w:bottom w:val="single" w:color="auto" w:sz="4" w:space="0"/>
              <w:right w:val="single" w:color="auto" w:sz="4" w:space="0"/>
            </w:tcBorders>
            <w:shd w:val="clear" w:color="auto" w:fill="auto"/>
            <w:noWrap/>
            <w:vAlign w:val="center"/>
          </w:tcPr>
          <w:p w14:paraId="791D52B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0C2FDB0B">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0.00</w:t>
            </w:r>
          </w:p>
        </w:tc>
      </w:tr>
      <w:tr w14:paraId="5733B2DC">
        <w:tblPrEx>
          <w:tblCellMar>
            <w:top w:w="0" w:type="dxa"/>
            <w:left w:w="108" w:type="dxa"/>
            <w:bottom w:w="0" w:type="dxa"/>
            <w:right w:w="108" w:type="dxa"/>
          </w:tblCellMar>
        </w:tblPrEx>
        <w:trPr>
          <w:trHeight w:val="454" w:hRule="exact"/>
        </w:trPr>
        <w:tc>
          <w:tcPr>
            <w:tcW w:w="710" w:type="pct"/>
            <w:vMerge w:val="restart"/>
            <w:tcBorders>
              <w:top w:val="nil"/>
              <w:left w:val="single" w:color="auto" w:sz="4" w:space="0"/>
              <w:right w:val="single" w:color="auto" w:sz="4" w:space="0"/>
            </w:tcBorders>
            <w:shd w:val="clear" w:color="auto" w:fill="auto"/>
            <w:noWrap/>
            <w:vAlign w:val="center"/>
          </w:tcPr>
          <w:p w14:paraId="3DADA0B4">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过程</w:t>
            </w:r>
          </w:p>
        </w:tc>
        <w:tc>
          <w:tcPr>
            <w:tcW w:w="2024" w:type="pct"/>
            <w:tcBorders>
              <w:top w:val="nil"/>
              <w:left w:val="nil"/>
              <w:bottom w:val="single" w:color="auto" w:sz="4" w:space="0"/>
              <w:right w:val="single" w:color="auto" w:sz="4" w:space="0"/>
            </w:tcBorders>
            <w:shd w:val="clear" w:color="auto" w:fill="auto"/>
            <w:noWrap/>
            <w:vAlign w:val="center"/>
          </w:tcPr>
          <w:p w14:paraId="55324BB3">
            <w:pPr>
              <w:keepNext w:val="0"/>
              <w:keepLines w:val="0"/>
              <w:pageBreakBefore w:val="0"/>
              <w:kinsoku/>
              <w:wordWrap/>
              <w:overflowPunct/>
              <w:topLinePunct w:val="0"/>
              <w:autoSpaceDE/>
              <w:autoSpaceDN/>
              <w:bidi w:val="0"/>
              <w:adjustRightInd/>
              <w:snapToGrid/>
              <w:ind w:firstLine="0" w:firstLineChars="0"/>
              <w:jc w:val="left"/>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B1</w:t>
            </w:r>
            <w:r>
              <w:rPr>
                <w:rFonts w:hint="eastAsia" w:ascii="Times New Roman" w:hAnsi="Times New Roman" w:eastAsia="仿宋_GB2312" w:cs="Times New Roman"/>
                <w:b/>
                <w:color w:val="000000"/>
                <w:sz w:val="24"/>
                <w:szCs w:val="24"/>
                <w:lang w:val="en-US" w:eastAsia="zh-CN"/>
              </w:rPr>
              <w:t>组织实施</w:t>
            </w:r>
          </w:p>
        </w:tc>
        <w:tc>
          <w:tcPr>
            <w:tcW w:w="836" w:type="pct"/>
            <w:tcBorders>
              <w:top w:val="nil"/>
              <w:left w:val="nil"/>
              <w:bottom w:val="single" w:color="auto" w:sz="4" w:space="0"/>
              <w:right w:val="single" w:color="auto" w:sz="4" w:space="0"/>
            </w:tcBorders>
            <w:shd w:val="clear" w:color="auto" w:fill="auto"/>
            <w:noWrap/>
            <w:vAlign w:val="center"/>
          </w:tcPr>
          <w:p w14:paraId="5B9C9C8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15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6EFF0A8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eastAsia="宋体" w:cs="Times New Roman"/>
                <w:i w:val="0"/>
                <w:iCs w:val="0"/>
                <w:color w:val="000000"/>
                <w:kern w:val="0"/>
                <w:sz w:val="24"/>
                <w:szCs w:val="24"/>
                <w:u w:val="none"/>
                <w:lang w:val="en-US" w:eastAsia="zh-CN" w:bidi="ar"/>
              </w:rPr>
              <w:t>6.25</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nil"/>
              <w:left w:val="nil"/>
              <w:bottom w:val="single" w:color="auto" w:sz="4" w:space="0"/>
              <w:right w:val="single" w:color="auto" w:sz="4" w:space="0"/>
            </w:tcBorders>
            <w:shd w:val="clear" w:color="auto" w:fill="auto"/>
            <w:noWrap/>
            <w:vAlign w:val="center"/>
          </w:tcPr>
          <w:p w14:paraId="393E1FBB">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41.67%</w:t>
            </w:r>
          </w:p>
        </w:tc>
      </w:tr>
      <w:tr w14:paraId="20167D20">
        <w:tblPrEx>
          <w:tblCellMar>
            <w:top w:w="0" w:type="dxa"/>
            <w:left w:w="108" w:type="dxa"/>
            <w:bottom w:w="0" w:type="dxa"/>
            <w:right w:w="108" w:type="dxa"/>
          </w:tblCellMar>
        </w:tblPrEx>
        <w:trPr>
          <w:trHeight w:val="454" w:hRule="exact"/>
        </w:trPr>
        <w:tc>
          <w:tcPr>
            <w:tcW w:w="710" w:type="pct"/>
            <w:vMerge w:val="continue"/>
            <w:tcBorders>
              <w:left w:val="single" w:color="auto" w:sz="4" w:space="0"/>
              <w:bottom w:val="single" w:color="auto" w:sz="4" w:space="0"/>
              <w:right w:val="single" w:color="auto" w:sz="4" w:space="0"/>
            </w:tcBorders>
            <w:vAlign w:val="center"/>
          </w:tcPr>
          <w:p w14:paraId="655B9A81">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3D779074">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2资金</w:t>
            </w:r>
            <w:r>
              <w:rPr>
                <w:rFonts w:hint="eastAsia" w:ascii="Times New Roman" w:hAnsi="Times New Roman" w:eastAsia="仿宋_GB2312" w:cs="Times New Roman"/>
                <w:b/>
                <w:color w:val="000000"/>
                <w:sz w:val="24"/>
                <w:szCs w:val="24"/>
              </w:rPr>
              <w:t>管理</w:t>
            </w:r>
          </w:p>
        </w:tc>
        <w:tc>
          <w:tcPr>
            <w:tcW w:w="836" w:type="pct"/>
            <w:tcBorders>
              <w:top w:val="nil"/>
              <w:left w:val="nil"/>
              <w:bottom w:val="single" w:color="auto" w:sz="4" w:space="0"/>
              <w:right w:val="single" w:color="auto" w:sz="4" w:space="0"/>
            </w:tcBorders>
            <w:shd w:val="clear" w:color="auto" w:fill="auto"/>
            <w:noWrap/>
            <w:vAlign w:val="center"/>
          </w:tcPr>
          <w:p w14:paraId="40B6EAF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15.00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714" w:type="pct"/>
            <w:tcBorders>
              <w:top w:val="nil"/>
              <w:left w:val="nil"/>
              <w:bottom w:val="single" w:color="auto" w:sz="4" w:space="0"/>
              <w:right w:val="single" w:color="auto" w:sz="4" w:space="0"/>
            </w:tcBorders>
            <w:shd w:val="clear" w:color="auto" w:fill="auto"/>
            <w:noWrap/>
            <w:vAlign w:val="center"/>
          </w:tcPr>
          <w:p w14:paraId="39B574A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12.00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nil"/>
              <w:left w:val="nil"/>
              <w:bottom w:val="single" w:color="auto" w:sz="4" w:space="0"/>
              <w:right w:val="single" w:color="auto" w:sz="4" w:space="0"/>
            </w:tcBorders>
            <w:shd w:val="clear" w:color="auto" w:fill="auto"/>
            <w:noWrap/>
            <w:vAlign w:val="center"/>
          </w:tcPr>
          <w:p w14:paraId="4659F5D6">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80.00%</w:t>
            </w:r>
          </w:p>
        </w:tc>
      </w:tr>
      <w:tr w14:paraId="490F9F40">
        <w:tblPrEx>
          <w:tblCellMar>
            <w:top w:w="0" w:type="dxa"/>
            <w:left w:w="108" w:type="dxa"/>
            <w:bottom w:w="0" w:type="dxa"/>
            <w:right w:w="108" w:type="dxa"/>
          </w:tblCellMar>
        </w:tblPrEx>
        <w:trPr>
          <w:trHeight w:val="454" w:hRule="exact"/>
        </w:trPr>
        <w:tc>
          <w:tcPr>
            <w:tcW w:w="710" w:type="pct"/>
            <w:vMerge w:val="restart"/>
            <w:tcBorders>
              <w:left w:val="single" w:color="auto" w:sz="4" w:space="0"/>
              <w:right w:val="single" w:color="auto" w:sz="4" w:space="0"/>
            </w:tcBorders>
            <w:shd w:val="clear" w:color="auto" w:fill="auto"/>
            <w:noWrap/>
            <w:vAlign w:val="center"/>
          </w:tcPr>
          <w:p w14:paraId="5DB5F327">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w:t>
            </w:r>
            <w:r>
              <w:rPr>
                <w:rFonts w:hint="eastAsia" w:ascii="Times New Roman" w:hAnsi="Times New Roman" w:eastAsia="仿宋_GB2312" w:cs="Times New Roman"/>
                <w:b/>
                <w:color w:val="000000"/>
                <w:sz w:val="24"/>
                <w:szCs w:val="24"/>
                <w:lang w:val="en-US" w:eastAsia="zh-CN"/>
              </w:rPr>
              <w:t>产出</w:t>
            </w:r>
          </w:p>
        </w:tc>
        <w:tc>
          <w:tcPr>
            <w:tcW w:w="2024" w:type="pct"/>
            <w:tcBorders>
              <w:top w:val="nil"/>
              <w:left w:val="nil"/>
              <w:bottom w:val="single" w:color="auto" w:sz="4" w:space="0"/>
              <w:right w:val="single" w:color="auto" w:sz="4" w:space="0"/>
            </w:tcBorders>
            <w:shd w:val="clear" w:color="auto" w:fill="auto"/>
            <w:noWrap/>
            <w:vAlign w:val="center"/>
          </w:tcPr>
          <w:p w14:paraId="5B96EFBB">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C1产出</w:t>
            </w:r>
            <w:r>
              <w:rPr>
                <w:rFonts w:hint="eastAsia" w:ascii="Times New Roman" w:hAnsi="Times New Roman" w:eastAsia="仿宋_GB2312" w:cs="Times New Roman"/>
                <w:b/>
                <w:color w:val="000000"/>
                <w:sz w:val="24"/>
                <w:szCs w:val="24"/>
                <w:lang w:val="en-US" w:eastAsia="zh-CN"/>
              </w:rPr>
              <w:t>数量</w:t>
            </w:r>
          </w:p>
        </w:tc>
        <w:tc>
          <w:tcPr>
            <w:tcW w:w="836" w:type="pct"/>
            <w:tcBorders>
              <w:top w:val="nil"/>
              <w:left w:val="nil"/>
              <w:bottom w:val="single" w:color="auto" w:sz="4" w:space="0"/>
              <w:right w:val="single" w:color="auto" w:sz="4" w:space="0"/>
            </w:tcBorders>
            <w:shd w:val="clear" w:color="auto" w:fill="auto"/>
            <w:noWrap/>
            <w:vAlign w:val="center"/>
          </w:tcPr>
          <w:p w14:paraId="422FC4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cs="Times New Roman"/>
                <w:kern w:val="0"/>
                <w:sz w:val="24"/>
                <w:szCs w:val="32"/>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w:t>
            </w:r>
            <w:r>
              <w:rPr>
                <w:rFonts w:hint="eastAsia" w:ascii="Times New Roman" w:hAnsi="Times New Roman" w:cs="Times New Roman"/>
                <w:i w:val="0"/>
                <w:iCs w:val="0"/>
                <w:color w:val="000000"/>
                <w:kern w:val="0"/>
                <w:sz w:val="24"/>
                <w:szCs w:val="24"/>
                <w:u w:val="none"/>
                <w:lang w:val="en-US" w:eastAsia="zh-CN" w:bidi="ar"/>
              </w:rPr>
              <w:t>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1B61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default" w:ascii="Times New Roman" w:hAnsi="Times New Roman" w:eastAsia="宋体" w:cs="Times New Roman"/>
                <w:i w:val="0"/>
                <w:iCs w:val="0"/>
                <w:color w:val="000000"/>
                <w:kern w:val="0"/>
                <w:sz w:val="24"/>
                <w:szCs w:val="24"/>
                <w:u w:val="none"/>
                <w:lang w:val="en-US" w:eastAsia="zh-CN" w:bidi="ar"/>
              </w:rPr>
              <w:t>1</w:t>
            </w:r>
            <w:r>
              <w:rPr>
                <w:rFonts w:hint="eastAsia" w:ascii="Times New Roman" w:hAnsi="Times New Roman" w:cs="Times New Roman"/>
                <w:i w:val="0"/>
                <w:iCs w:val="0"/>
                <w:color w:val="000000"/>
                <w:kern w:val="0"/>
                <w:sz w:val="24"/>
                <w:szCs w:val="24"/>
                <w:u w:val="none"/>
                <w:lang w:val="en-US" w:eastAsia="zh-CN" w:bidi="ar"/>
              </w:rPr>
              <w:t>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2C37C2F9">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46814018">
        <w:tblPrEx>
          <w:tblCellMar>
            <w:top w:w="0" w:type="dxa"/>
            <w:left w:w="108" w:type="dxa"/>
            <w:bottom w:w="0" w:type="dxa"/>
            <w:right w:w="108" w:type="dxa"/>
          </w:tblCellMar>
        </w:tblPrEx>
        <w:trPr>
          <w:trHeight w:val="454" w:hRule="exact"/>
        </w:trPr>
        <w:tc>
          <w:tcPr>
            <w:tcW w:w="710" w:type="pct"/>
            <w:vMerge w:val="continue"/>
            <w:tcBorders>
              <w:left w:val="single" w:color="auto" w:sz="4" w:space="0"/>
              <w:right w:val="single" w:color="auto" w:sz="4" w:space="0"/>
            </w:tcBorders>
            <w:vAlign w:val="center"/>
          </w:tcPr>
          <w:p w14:paraId="7A9597E2">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24C009C1">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C2产出</w:t>
            </w:r>
            <w:r>
              <w:rPr>
                <w:rFonts w:hint="eastAsia" w:ascii="Times New Roman" w:hAnsi="Times New Roman" w:eastAsia="仿宋_GB2312" w:cs="Times New Roman"/>
                <w:b/>
                <w:color w:val="000000"/>
                <w:sz w:val="24"/>
                <w:szCs w:val="24"/>
                <w:lang w:val="en-US" w:eastAsia="zh-CN"/>
              </w:rPr>
              <w:t>时效</w:t>
            </w:r>
          </w:p>
        </w:tc>
        <w:tc>
          <w:tcPr>
            <w:tcW w:w="836" w:type="pct"/>
            <w:tcBorders>
              <w:top w:val="nil"/>
              <w:left w:val="nil"/>
              <w:bottom w:val="single" w:color="auto" w:sz="4" w:space="0"/>
              <w:right w:val="single" w:color="auto" w:sz="4" w:space="0"/>
            </w:tcBorders>
            <w:shd w:val="clear" w:color="auto" w:fill="auto"/>
            <w:noWrap/>
            <w:vAlign w:val="center"/>
          </w:tcPr>
          <w:p w14:paraId="08D3B1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0AFA8D4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10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4CFA7778">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083CC690">
        <w:tblPrEx>
          <w:tblCellMar>
            <w:top w:w="0" w:type="dxa"/>
            <w:left w:w="108" w:type="dxa"/>
            <w:bottom w:w="0" w:type="dxa"/>
            <w:right w:w="108" w:type="dxa"/>
          </w:tblCellMar>
        </w:tblPrEx>
        <w:trPr>
          <w:trHeight w:val="454" w:hRule="exact"/>
        </w:trPr>
        <w:tc>
          <w:tcPr>
            <w:tcW w:w="710" w:type="pct"/>
            <w:vMerge w:val="continue"/>
            <w:tcBorders>
              <w:left w:val="single" w:color="auto" w:sz="4" w:space="0"/>
              <w:bottom w:val="single" w:color="auto" w:sz="4" w:space="0"/>
              <w:right w:val="single" w:color="auto" w:sz="4" w:space="0"/>
            </w:tcBorders>
            <w:vAlign w:val="center"/>
          </w:tcPr>
          <w:p w14:paraId="4AC29B38">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277DAF41">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w:t>
            </w:r>
            <w:r>
              <w:rPr>
                <w:rFonts w:hint="eastAsia" w:ascii="Times New Roman" w:hAnsi="Times New Roman" w:cs="Times New Roman"/>
                <w:b/>
                <w:color w:val="000000"/>
                <w:sz w:val="24"/>
                <w:szCs w:val="24"/>
                <w:lang w:val="en-US" w:eastAsia="zh-CN"/>
              </w:rPr>
              <w:t>3</w:t>
            </w:r>
            <w:r>
              <w:rPr>
                <w:rFonts w:hint="eastAsia" w:ascii="Times New Roman" w:hAnsi="Times New Roman" w:eastAsia="仿宋_GB2312" w:cs="Times New Roman"/>
                <w:b/>
                <w:color w:val="000000"/>
                <w:sz w:val="24"/>
                <w:szCs w:val="24"/>
                <w:lang w:val="en-US" w:eastAsia="zh-CN"/>
              </w:rPr>
              <w:t>产出</w:t>
            </w:r>
            <w:r>
              <w:rPr>
                <w:rFonts w:hint="eastAsia" w:ascii="Times New Roman" w:hAnsi="Times New Roman" w:cs="Times New Roman"/>
                <w:b/>
                <w:color w:val="000000"/>
                <w:sz w:val="24"/>
                <w:szCs w:val="24"/>
                <w:lang w:val="en-US" w:eastAsia="zh-CN"/>
              </w:rPr>
              <w:t>质量</w:t>
            </w:r>
          </w:p>
        </w:tc>
        <w:tc>
          <w:tcPr>
            <w:tcW w:w="836" w:type="pct"/>
            <w:tcBorders>
              <w:top w:val="nil"/>
              <w:left w:val="nil"/>
              <w:bottom w:val="single" w:color="auto" w:sz="4" w:space="0"/>
              <w:right w:val="single" w:color="auto" w:sz="4" w:space="0"/>
            </w:tcBorders>
            <w:shd w:val="clear" w:color="auto" w:fill="auto"/>
            <w:noWrap/>
            <w:vAlign w:val="center"/>
          </w:tcPr>
          <w:p w14:paraId="4B174C8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081D21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41A424D5">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07D5D71D">
        <w:tblPrEx>
          <w:tblCellMar>
            <w:top w:w="0" w:type="dxa"/>
            <w:left w:w="108" w:type="dxa"/>
            <w:bottom w:w="0" w:type="dxa"/>
            <w:right w:w="108" w:type="dxa"/>
          </w:tblCellMar>
        </w:tblPrEx>
        <w:trPr>
          <w:trHeight w:val="454" w:hRule="exact"/>
        </w:trPr>
        <w:tc>
          <w:tcPr>
            <w:tcW w:w="710" w:type="pct"/>
            <w:vMerge w:val="restart"/>
            <w:tcBorders>
              <w:top w:val="nil"/>
              <w:left w:val="single" w:color="auto" w:sz="4" w:space="0"/>
              <w:bottom w:val="single" w:color="auto" w:sz="4" w:space="0"/>
              <w:right w:val="single" w:color="auto" w:sz="4" w:space="0"/>
            </w:tcBorders>
            <w:shd w:val="clear" w:color="auto" w:fill="auto"/>
            <w:noWrap/>
            <w:vAlign w:val="center"/>
          </w:tcPr>
          <w:p w14:paraId="4581B910">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D效</w:t>
            </w:r>
            <w:r>
              <w:rPr>
                <w:rFonts w:hint="eastAsia" w:ascii="Times New Roman" w:hAnsi="Times New Roman" w:eastAsia="仿宋_GB2312" w:cs="Times New Roman"/>
                <w:b/>
                <w:color w:val="000000"/>
                <w:sz w:val="24"/>
                <w:szCs w:val="24"/>
                <w:lang w:val="en-US" w:eastAsia="zh-CN"/>
              </w:rPr>
              <w:t>益</w:t>
            </w:r>
          </w:p>
        </w:tc>
        <w:tc>
          <w:tcPr>
            <w:tcW w:w="2024" w:type="pct"/>
            <w:tcBorders>
              <w:top w:val="nil"/>
              <w:left w:val="nil"/>
              <w:bottom w:val="single" w:color="auto" w:sz="4" w:space="0"/>
              <w:right w:val="single" w:color="auto" w:sz="4" w:space="0"/>
            </w:tcBorders>
            <w:shd w:val="clear" w:color="auto" w:fill="auto"/>
            <w:noWrap/>
            <w:vAlign w:val="center"/>
          </w:tcPr>
          <w:p w14:paraId="6EE77B16">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D1社会效益</w:t>
            </w:r>
          </w:p>
        </w:tc>
        <w:tc>
          <w:tcPr>
            <w:tcW w:w="836" w:type="pct"/>
            <w:tcBorders>
              <w:top w:val="nil"/>
              <w:left w:val="nil"/>
              <w:bottom w:val="single" w:color="auto" w:sz="4" w:space="0"/>
              <w:right w:val="single" w:color="auto" w:sz="4" w:space="0"/>
            </w:tcBorders>
            <w:shd w:val="clear" w:color="auto" w:fill="auto"/>
            <w:noWrap/>
            <w:vAlign w:val="center"/>
          </w:tcPr>
          <w:p w14:paraId="69711C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20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575EE20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9.5</w:t>
            </w:r>
            <w:r>
              <w:rPr>
                <w:rFonts w:hint="default" w:ascii="Times New Roman" w:hAnsi="Times New Roman" w:eastAsia="宋体" w:cs="Times New Roman"/>
                <w:i w:val="0"/>
                <w:iCs w:val="0"/>
                <w:color w:val="000000"/>
                <w:kern w:val="0"/>
                <w:sz w:val="24"/>
                <w:szCs w:val="24"/>
                <w:u w:val="none"/>
                <w:lang w:val="en-US" w:eastAsia="zh-CN" w:bidi="ar"/>
              </w:rPr>
              <w:t>0</w:t>
            </w:r>
          </w:p>
        </w:tc>
        <w:tc>
          <w:tcPr>
            <w:tcW w:w="1217" w:type="dxa"/>
            <w:tcBorders>
              <w:top w:val="nil"/>
              <w:left w:val="nil"/>
              <w:bottom w:val="single" w:color="auto" w:sz="4" w:space="0"/>
              <w:right w:val="single" w:color="auto" w:sz="4" w:space="0"/>
            </w:tcBorders>
            <w:shd w:val="clear" w:color="auto" w:fill="auto"/>
            <w:noWrap/>
            <w:vAlign w:val="center"/>
          </w:tcPr>
          <w:p w14:paraId="2864F3B4">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47.50%</w:t>
            </w:r>
          </w:p>
        </w:tc>
      </w:tr>
      <w:tr w14:paraId="2E15DBC2">
        <w:tblPrEx>
          <w:tblCellMar>
            <w:top w:w="0" w:type="dxa"/>
            <w:left w:w="108" w:type="dxa"/>
            <w:bottom w:w="0" w:type="dxa"/>
            <w:right w:w="108" w:type="dxa"/>
          </w:tblCellMar>
        </w:tblPrEx>
        <w:trPr>
          <w:trHeight w:val="454" w:hRule="exact"/>
        </w:trPr>
        <w:tc>
          <w:tcPr>
            <w:tcW w:w="710" w:type="pct"/>
            <w:vMerge w:val="continue"/>
            <w:tcBorders>
              <w:top w:val="nil"/>
              <w:left w:val="single" w:color="auto" w:sz="4" w:space="0"/>
              <w:bottom w:val="single" w:color="auto" w:sz="4" w:space="0"/>
              <w:right w:val="single" w:color="auto" w:sz="4" w:space="0"/>
            </w:tcBorders>
            <w:vAlign w:val="center"/>
          </w:tcPr>
          <w:p w14:paraId="67230C7A">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7D32F4B8">
            <w:pPr>
              <w:keepNext w:val="0"/>
              <w:keepLines w:val="0"/>
              <w:pageBreakBefore w:val="0"/>
              <w:kinsoku/>
              <w:wordWrap/>
              <w:overflowPunct/>
              <w:topLinePunct w:val="0"/>
              <w:autoSpaceDE/>
              <w:autoSpaceDN/>
              <w:bidi w:val="0"/>
              <w:adjustRightInd/>
              <w:snapToGrid/>
              <w:ind w:firstLine="0" w:firstLineChars="0"/>
              <w:jc w:val="left"/>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D2</w:t>
            </w:r>
            <w:r>
              <w:rPr>
                <w:rFonts w:hint="eastAsia" w:ascii="Times New Roman" w:hAnsi="Times New Roman" w:cs="Times New Roman"/>
                <w:b/>
                <w:color w:val="000000"/>
                <w:sz w:val="24"/>
                <w:szCs w:val="24"/>
                <w:lang w:val="en-US" w:eastAsia="zh-CN"/>
              </w:rPr>
              <w:t>可持续影响</w:t>
            </w:r>
          </w:p>
        </w:tc>
        <w:tc>
          <w:tcPr>
            <w:tcW w:w="836" w:type="pct"/>
            <w:tcBorders>
              <w:top w:val="nil"/>
              <w:left w:val="nil"/>
              <w:bottom w:val="single" w:color="auto" w:sz="4" w:space="0"/>
              <w:right w:val="single" w:color="auto" w:sz="4" w:space="0"/>
            </w:tcBorders>
            <w:shd w:val="clear" w:color="auto" w:fill="auto"/>
            <w:noWrap/>
            <w:vAlign w:val="center"/>
          </w:tcPr>
          <w:p w14:paraId="28B67E6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1E0FAF9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1F8B215A">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161FB533">
        <w:tblPrEx>
          <w:tblCellMar>
            <w:top w:w="0" w:type="dxa"/>
            <w:left w:w="108" w:type="dxa"/>
            <w:bottom w:w="0" w:type="dxa"/>
            <w:right w:w="108" w:type="dxa"/>
          </w:tblCellMar>
        </w:tblPrEx>
        <w:trPr>
          <w:trHeight w:val="454" w:hRule="exact"/>
        </w:trPr>
        <w:tc>
          <w:tcPr>
            <w:tcW w:w="710" w:type="pct"/>
            <w:vMerge w:val="continue"/>
            <w:tcBorders>
              <w:top w:val="nil"/>
              <w:left w:val="single" w:color="auto" w:sz="4" w:space="0"/>
              <w:bottom w:val="single" w:color="auto" w:sz="4" w:space="0"/>
              <w:right w:val="single" w:color="auto" w:sz="4" w:space="0"/>
            </w:tcBorders>
            <w:vAlign w:val="center"/>
          </w:tcPr>
          <w:p w14:paraId="2FA51906">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vAlign w:val="center"/>
          </w:tcPr>
          <w:p w14:paraId="4625B989">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D3</w:t>
            </w:r>
            <w:r>
              <w:rPr>
                <w:rFonts w:hint="eastAsia" w:ascii="Times New Roman" w:hAnsi="Times New Roman" w:eastAsia="仿宋_GB2312" w:cs="Times New Roman"/>
                <w:b/>
                <w:color w:val="000000"/>
                <w:sz w:val="24"/>
                <w:szCs w:val="24"/>
                <w:lang w:val="en-US" w:eastAsia="zh-CN"/>
              </w:rPr>
              <w:t>满意度</w:t>
            </w:r>
          </w:p>
        </w:tc>
        <w:tc>
          <w:tcPr>
            <w:tcW w:w="836" w:type="pct"/>
            <w:tcBorders>
              <w:top w:val="nil"/>
              <w:left w:val="nil"/>
              <w:bottom w:val="single" w:color="auto" w:sz="4" w:space="0"/>
              <w:right w:val="single" w:color="auto" w:sz="4" w:space="0"/>
            </w:tcBorders>
            <w:shd w:val="clear" w:color="auto" w:fill="auto"/>
            <w:noWrap/>
            <w:vAlign w:val="center"/>
          </w:tcPr>
          <w:p w14:paraId="16322BB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7341B37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4.72</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nil"/>
              <w:left w:val="nil"/>
              <w:bottom w:val="single" w:color="auto" w:sz="4" w:space="0"/>
              <w:right w:val="single" w:color="auto" w:sz="4" w:space="0"/>
            </w:tcBorders>
            <w:shd w:val="clear" w:color="auto" w:fill="auto"/>
            <w:noWrap/>
            <w:vAlign w:val="center"/>
          </w:tcPr>
          <w:p w14:paraId="70CACEAD">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94.40%</w:t>
            </w:r>
          </w:p>
        </w:tc>
      </w:tr>
      <w:tr w14:paraId="4B09272E">
        <w:tblPrEx>
          <w:tblCellMar>
            <w:top w:w="0" w:type="dxa"/>
            <w:left w:w="108" w:type="dxa"/>
            <w:bottom w:w="0" w:type="dxa"/>
            <w:right w:w="108" w:type="dxa"/>
          </w:tblCellMar>
        </w:tblPrEx>
        <w:trPr>
          <w:trHeight w:val="454" w:hRule="exact"/>
        </w:trPr>
        <w:tc>
          <w:tcPr>
            <w:tcW w:w="2735"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C863BF2">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合计</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FC198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i w:val="0"/>
                <w:iCs w:val="0"/>
                <w:color w:val="000000"/>
                <w:kern w:val="0"/>
                <w:sz w:val="24"/>
                <w:szCs w:val="24"/>
                <w:highlight w:val="none"/>
                <w:u w:val="none"/>
                <w:lang w:val="en-US" w:eastAsia="zh-CN" w:bidi="ar"/>
              </w:rPr>
              <w:t xml:space="preserve">100.00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1BD760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iCs w:val="0"/>
                <w:color w:val="auto"/>
                <w:kern w:val="0"/>
                <w:sz w:val="24"/>
                <w:szCs w:val="24"/>
                <w:highlight w:val="none"/>
                <w:u w:val="none"/>
                <w:lang w:val="en-US" w:eastAsia="zh-CN" w:bidi="ar"/>
              </w:rPr>
            </w:pPr>
            <w:r>
              <w:rPr>
                <w:rFonts w:hint="eastAsia" w:ascii="Times New Roman" w:hAnsi="Times New Roman" w:cs="Times New Roman"/>
                <w:i w:val="0"/>
                <w:iCs w:val="0"/>
                <w:color w:val="auto"/>
                <w:kern w:val="0"/>
                <w:sz w:val="24"/>
                <w:szCs w:val="24"/>
                <w:highlight w:val="none"/>
                <w:u w:val="none"/>
                <w:lang w:val="en-US" w:eastAsia="zh-CN" w:bidi="ar"/>
              </w:rPr>
              <w:t>69.77</w:t>
            </w:r>
            <w:r>
              <w:rPr>
                <w:rFonts w:hint="eastAsia" w:ascii="Times New Roman" w:hAnsi="Times New Roman" w:eastAsia="宋体" w:cs="Times New Roman"/>
                <w:i w:val="0"/>
                <w:iCs w:val="0"/>
                <w:color w:val="auto"/>
                <w:kern w:val="0"/>
                <w:sz w:val="24"/>
                <w:szCs w:val="24"/>
                <w:highlight w:val="none"/>
                <w:u w:val="none"/>
                <w:lang w:val="en-US" w:eastAsia="zh-CN" w:bidi="ar"/>
              </w:rPr>
              <w:t xml:space="preserve">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3A99FC">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69.77%</w:t>
            </w:r>
          </w:p>
        </w:tc>
      </w:tr>
    </w:tbl>
    <w:p w14:paraId="27A9E8FD">
      <w:pPr>
        <w:pStyle w:val="14"/>
        <w:adjustRightInd w:val="0"/>
        <w:snapToGrid w:val="0"/>
        <w:ind w:left="0" w:leftChars="0" w:firstLine="0" w:firstLineChars="0"/>
        <w:rPr>
          <w:sz w:val="18"/>
          <w:szCs w:val="18"/>
          <w:highlight w:val="green"/>
        </w:rPr>
      </w:pPr>
    </w:p>
    <w:p w14:paraId="7B20A211">
      <w:pPr>
        <w:pStyle w:val="2"/>
        <w:keepNext w:val="0"/>
        <w:keepLines w:val="0"/>
        <w:pageBreakBefore w:val="0"/>
        <w:kinsoku/>
        <w:wordWrap/>
        <w:overflowPunct/>
        <w:topLinePunct w:val="0"/>
        <w:autoSpaceDE/>
        <w:autoSpaceDN/>
        <w:bidi w:val="0"/>
        <w:spacing w:line="580" w:lineRule="exact"/>
        <w:ind w:left="0" w:leftChars="0" w:firstLine="0" w:firstLineChars="0"/>
        <w:textAlignment w:val="auto"/>
        <w:rPr>
          <w:color w:val="auto"/>
          <w:highlight w:val="none"/>
        </w:rPr>
      </w:pPr>
      <w:bookmarkStart w:id="117" w:name="_Toc527"/>
      <w:bookmarkStart w:id="118" w:name="_Toc23930"/>
      <w:r>
        <w:rPr>
          <w:rFonts w:hint="eastAsia"/>
          <w:color w:val="auto"/>
          <w:highlight w:val="none"/>
          <w:lang w:val="en-US" w:eastAsia="zh-CN"/>
        </w:rPr>
        <w:t>三</w:t>
      </w:r>
      <w:r>
        <w:rPr>
          <w:color w:val="auto"/>
          <w:highlight w:val="none"/>
        </w:rPr>
        <w:t>、绩效评价分析</w:t>
      </w:r>
      <w:bookmarkEnd w:id="117"/>
      <w:bookmarkEnd w:id="118"/>
    </w:p>
    <w:p w14:paraId="6D4B7BE5">
      <w:pPr>
        <w:pStyle w:val="3"/>
        <w:keepNext w:val="0"/>
        <w:keepLines w:val="0"/>
        <w:pageBreakBefore w:val="0"/>
        <w:kinsoku/>
        <w:wordWrap/>
        <w:overflowPunct/>
        <w:topLinePunct w:val="0"/>
        <w:autoSpaceDE/>
        <w:autoSpaceDN/>
        <w:bidi w:val="0"/>
        <w:spacing w:line="580" w:lineRule="exact"/>
        <w:ind w:firstLine="643"/>
        <w:textAlignment w:val="auto"/>
        <w:rPr>
          <w:b/>
          <w:bCs/>
          <w:color w:val="auto"/>
          <w:highlight w:val="none"/>
        </w:rPr>
      </w:pPr>
      <w:r>
        <w:rPr>
          <w:b/>
          <w:bCs/>
          <w:color w:val="auto"/>
          <w:highlight w:val="none"/>
        </w:rPr>
        <w:t>（一）项目决策情况</w:t>
      </w:r>
    </w:p>
    <w:p w14:paraId="2E8684DF">
      <w:pPr>
        <w:keepNext w:val="0"/>
        <w:keepLines w:val="0"/>
        <w:pageBreakBefore w:val="0"/>
        <w:kinsoku/>
        <w:wordWrap/>
        <w:overflowPunct/>
        <w:topLinePunct w:val="0"/>
        <w:autoSpaceDE/>
        <w:autoSpaceDN/>
        <w:bidi w:val="0"/>
        <w:spacing w:line="580" w:lineRule="exact"/>
        <w:ind w:firstLine="640"/>
        <w:textAlignment w:val="auto"/>
        <w:rPr>
          <w:color w:val="auto"/>
        </w:rPr>
      </w:pPr>
      <w:r>
        <w:rPr>
          <w:color w:val="auto"/>
          <w:highlight w:val="none"/>
        </w:rPr>
        <w:t>决策类指标包含3个二级指标、5个三级指标，权重分值为15分，得分</w:t>
      </w:r>
      <w:r>
        <w:rPr>
          <w:rFonts w:hint="eastAsia"/>
          <w:color w:val="auto"/>
          <w:highlight w:val="none"/>
          <w:lang w:val="en-US" w:eastAsia="zh-CN"/>
        </w:rPr>
        <w:t>7.30</w:t>
      </w:r>
      <w:r>
        <w:rPr>
          <w:color w:val="auto"/>
          <w:highlight w:val="none"/>
        </w:rPr>
        <w:t>分，得分率</w:t>
      </w:r>
      <w:r>
        <w:rPr>
          <w:rFonts w:hint="eastAsia"/>
          <w:color w:val="auto"/>
          <w:highlight w:val="none"/>
          <w:lang w:val="en-US" w:eastAsia="zh-CN"/>
        </w:rPr>
        <w:t>48.67</w:t>
      </w:r>
      <w:r>
        <w:rPr>
          <w:color w:val="auto"/>
          <w:highlight w:val="none"/>
        </w:rPr>
        <w:t>%。项目立项符合《</w:t>
      </w:r>
      <w:r>
        <w:rPr>
          <w:rFonts w:hint="eastAsia"/>
          <w:color w:val="auto"/>
          <w:highlight w:val="none"/>
        </w:rPr>
        <w:t>义马市国民经济和社会发展第十四个五年规</w:t>
      </w:r>
      <w:r>
        <w:rPr>
          <w:rFonts w:hint="eastAsia"/>
          <w:color w:val="auto"/>
        </w:rPr>
        <w:t>划和二〇三五年远景目标纲要（草案）</w:t>
      </w:r>
      <w:r>
        <w:rPr>
          <w:color w:val="auto"/>
        </w:rPr>
        <w:t>》</w:t>
      </w:r>
      <w:r>
        <w:rPr>
          <w:rFonts w:hint="eastAsia" w:ascii="仿宋_GB2312" w:hAnsi="仿宋_GB2312" w:cs="仿宋_GB2312"/>
          <w:color w:val="auto"/>
          <w:lang w:eastAsia="zh-CN"/>
        </w:rPr>
        <w:t>“</w:t>
      </w:r>
      <w:r>
        <w:rPr>
          <w:rFonts w:hint="eastAsia"/>
          <w:color w:val="auto"/>
        </w:rPr>
        <w:t>进一步优化义务教育资源配置，加大城区义务教育资源投入力度，加快现有学校扩建扩充，增加学位总量，确保消除大班额现象</w:t>
      </w:r>
      <w:r>
        <w:rPr>
          <w:rFonts w:hint="eastAsia" w:ascii="仿宋_GB2312" w:hAnsi="仿宋_GB2312" w:cs="仿宋_GB2312"/>
          <w:color w:val="auto"/>
          <w:lang w:eastAsia="zh-CN"/>
        </w:rPr>
        <w:t>”</w:t>
      </w:r>
      <w:r>
        <w:rPr>
          <w:rFonts w:hint="eastAsia"/>
          <w:color w:val="auto"/>
          <w:lang w:eastAsia="zh-CN"/>
        </w:rPr>
        <w:t>。</w:t>
      </w:r>
      <w:r>
        <w:rPr>
          <w:color w:val="auto"/>
        </w:rPr>
        <w:t>但存在</w:t>
      </w:r>
      <w:r>
        <w:rPr>
          <w:rFonts w:hint="eastAsia"/>
          <w:color w:val="auto"/>
          <w:lang w:eastAsia="zh-CN"/>
        </w:rPr>
        <w:t>绩效目标</w:t>
      </w:r>
      <w:r>
        <w:rPr>
          <w:rFonts w:hint="eastAsia"/>
          <w:color w:val="auto"/>
          <w:lang w:val="en-US" w:eastAsia="zh-CN"/>
        </w:rPr>
        <w:t>设置</w:t>
      </w:r>
      <w:r>
        <w:rPr>
          <w:rFonts w:hint="eastAsia"/>
          <w:color w:val="auto"/>
          <w:lang w:eastAsia="zh-CN"/>
        </w:rPr>
        <w:t>不</w:t>
      </w:r>
      <w:r>
        <w:rPr>
          <w:rFonts w:hint="eastAsia"/>
          <w:color w:val="auto"/>
          <w:lang w:val="en-US" w:eastAsia="zh-CN"/>
        </w:rPr>
        <w:t>合理、不明确</w:t>
      </w:r>
      <w:r>
        <w:rPr>
          <w:color w:val="auto"/>
        </w:rPr>
        <w:t>等问题。</w:t>
      </w:r>
    </w:p>
    <w:p w14:paraId="6A4FCCF5">
      <w:pPr>
        <w:pStyle w:val="3"/>
        <w:keepNext w:val="0"/>
        <w:keepLines w:val="0"/>
        <w:pageBreakBefore w:val="0"/>
        <w:kinsoku/>
        <w:wordWrap/>
        <w:overflowPunct/>
        <w:topLinePunct w:val="0"/>
        <w:autoSpaceDE/>
        <w:autoSpaceDN/>
        <w:bidi w:val="0"/>
        <w:spacing w:line="580" w:lineRule="exact"/>
        <w:ind w:firstLine="643"/>
        <w:textAlignment w:val="auto"/>
        <w:rPr>
          <w:b/>
          <w:bCs/>
          <w:color w:val="auto"/>
        </w:rPr>
      </w:pPr>
      <w:r>
        <w:rPr>
          <w:b/>
          <w:bCs/>
          <w:color w:val="auto"/>
        </w:rPr>
        <w:t>（二）项目</w:t>
      </w:r>
      <w:r>
        <w:rPr>
          <w:rFonts w:hint="eastAsia"/>
          <w:b/>
          <w:bCs/>
          <w:color w:val="auto"/>
          <w:lang w:val="en-US" w:eastAsia="zh-CN"/>
        </w:rPr>
        <w:t>过程</w:t>
      </w:r>
      <w:r>
        <w:rPr>
          <w:b/>
          <w:bCs/>
          <w:color w:val="auto"/>
        </w:rPr>
        <w:t>情况</w:t>
      </w:r>
    </w:p>
    <w:p w14:paraId="3EFB3EC1">
      <w:pPr>
        <w:keepNext w:val="0"/>
        <w:keepLines w:val="0"/>
        <w:pageBreakBefore w:val="0"/>
        <w:kinsoku/>
        <w:wordWrap/>
        <w:overflowPunct/>
        <w:topLinePunct w:val="0"/>
        <w:autoSpaceDE/>
        <w:autoSpaceDN/>
        <w:bidi w:val="0"/>
        <w:spacing w:line="580" w:lineRule="exact"/>
        <w:ind w:firstLine="640"/>
        <w:textAlignment w:val="auto"/>
        <w:rPr>
          <w:color w:val="auto"/>
        </w:rPr>
      </w:pPr>
      <w:r>
        <w:rPr>
          <w:color w:val="auto"/>
        </w:rPr>
        <w:t>过程类指标包含2个二级指标、6个三级指标，权重分值为30分，</w:t>
      </w:r>
      <w:r>
        <w:rPr>
          <w:color w:val="auto"/>
          <w:highlight w:val="none"/>
        </w:rPr>
        <w:t>得分</w:t>
      </w:r>
      <w:r>
        <w:rPr>
          <w:rFonts w:hint="eastAsia"/>
          <w:color w:val="auto"/>
          <w:highlight w:val="none"/>
          <w:lang w:val="en-US" w:eastAsia="zh-CN"/>
        </w:rPr>
        <w:t>18.25</w:t>
      </w:r>
      <w:r>
        <w:rPr>
          <w:color w:val="auto"/>
          <w:highlight w:val="none"/>
        </w:rPr>
        <w:t>分，得分率</w:t>
      </w:r>
      <w:r>
        <w:rPr>
          <w:rFonts w:hint="eastAsia"/>
          <w:color w:val="auto"/>
          <w:highlight w:val="none"/>
          <w:lang w:val="en-US" w:eastAsia="zh-CN"/>
        </w:rPr>
        <w:t>60.83</w:t>
      </w:r>
      <w:r>
        <w:rPr>
          <w:color w:val="auto"/>
          <w:highlight w:val="none"/>
        </w:rPr>
        <w:t>%。</w:t>
      </w:r>
      <w:r>
        <w:rPr>
          <w:color w:val="auto"/>
        </w:rPr>
        <w:t>该项目制定了项目质量控制相关规定，财政资金全部用于支付工程款。但存在</w:t>
      </w:r>
      <w:r>
        <w:rPr>
          <w:rFonts w:hint="eastAsia"/>
          <w:color w:val="auto"/>
        </w:rPr>
        <w:t>财务制度与上级文件冲突未及时修订</w:t>
      </w:r>
      <w:r>
        <w:rPr>
          <w:rFonts w:hint="eastAsia"/>
          <w:color w:val="auto"/>
          <w:lang w:eastAsia="zh-CN"/>
        </w:rPr>
        <w:t>、</w:t>
      </w:r>
      <w:r>
        <w:rPr>
          <w:rFonts w:hint="eastAsia"/>
          <w:color w:val="auto"/>
        </w:rPr>
        <w:t>实际投资超批复金额</w:t>
      </w:r>
      <w:r>
        <w:rPr>
          <w:color w:val="auto"/>
        </w:rPr>
        <w:t>，项目调整手续不完备</w:t>
      </w:r>
      <w:r>
        <w:rPr>
          <w:rFonts w:hint="eastAsia"/>
          <w:color w:val="auto"/>
          <w:lang w:eastAsia="zh-CN"/>
        </w:rPr>
        <w:t>等问题</w:t>
      </w:r>
      <w:r>
        <w:rPr>
          <w:color w:val="auto"/>
        </w:rPr>
        <w:t>。</w:t>
      </w:r>
    </w:p>
    <w:p w14:paraId="5EDEE121">
      <w:pPr>
        <w:pStyle w:val="3"/>
        <w:keepNext w:val="0"/>
        <w:keepLines w:val="0"/>
        <w:pageBreakBefore w:val="0"/>
        <w:kinsoku/>
        <w:wordWrap/>
        <w:overflowPunct/>
        <w:topLinePunct w:val="0"/>
        <w:autoSpaceDE/>
        <w:autoSpaceDN/>
        <w:bidi w:val="0"/>
        <w:spacing w:line="580" w:lineRule="exact"/>
        <w:ind w:firstLine="643"/>
        <w:textAlignment w:val="auto"/>
        <w:rPr>
          <w:b/>
          <w:bCs/>
          <w:color w:val="auto"/>
        </w:rPr>
      </w:pPr>
      <w:r>
        <w:rPr>
          <w:b/>
          <w:bCs/>
          <w:color w:val="auto"/>
        </w:rPr>
        <w:t>（三）项目产出情况</w:t>
      </w:r>
    </w:p>
    <w:p w14:paraId="656AB733">
      <w:pPr>
        <w:keepNext w:val="0"/>
        <w:keepLines w:val="0"/>
        <w:pageBreakBefore w:val="0"/>
        <w:widowControl/>
        <w:kinsoku/>
        <w:wordWrap/>
        <w:overflowPunct/>
        <w:topLinePunct w:val="0"/>
        <w:autoSpaceDE/>
        <w:autoSpaceDN/>
        <w:bidi w:val="0"/>
        <w:spacing w:line="580" w:lineRule="exact"/>
        <w:ind w:firstLine="640"/>
        <w:jc w:val="left"/>
        <w:textAlignment w:val="auto"/>
        <w:rPr>
          <w:rFonts w:hint="default" w:eastAsia="仿宋_GB2312"/>
          <w:color w:val="auto"/>
          <w:lang w:val="en-US" w:eastAsia="zh-CN"/>
        </w:rPr>
      </w:pPr>
      <w:r>
        <w:rPr>
          <w:color w:val="auto"/>
          <w:kern w:val="0"/>
          <w:szCs w:val="32"/>
        </w:rPr>
        <w:t>产出类指标包含3个二级指标、3个三级指标，权重分值为25分，得分</w:t>
      </w:r>
      <w:r>
        <w:rPr>
          <w:rFonts w:hint="eastAsia"/>
          <w:color w:val="auto"/>
          <w:kern w:val="0"/>
          <w:szCs w:val="32"/>
        </w:rPr>
        <w:t>2</w:t>
      </w:r>
      <w:r>
        <w:rPr>
          <w:rFonts w:hint="eastAsia"/>
          <w:color w:val="auto"/>
          <w:kern w:val="0"/>
          <w:szCs w:val="32"/>
          <w:lang w:val="en-US" w:eastAsia="zh-CN"/>
        </w:rPr>
        <w:t>5.0</w:t>
      </w:r>
      <w:r>
        <w:rPr>
          <w:rFonts w:hint="eastAsia"/>
          <w:color w:val="auto"/>
          <w:kern w:val="0"/>
          <w:szCs w:val="32"/>
        </w:rPr>
        <w:t>0</w:t>
      </w:r>
      <w:r>
        <w:rPr>
          <w:color w:val="auto"/>
          <w:kern w:val="0"/>
          <w:szCs w:val="32"/>
        </w:rPr>
        <w:t>分，得分率</w:t>
      </w:r>
      <w:r>
        <w:rPr>
          <w:rFonts w:hint="eastAsia"/>
          <w:color w:val="auto"/>
          <w:kern w:val="0"/>
          <w:szCs w:val="32"/>
          <w:lang w:val="en-US" w:eastAsia="zh-CN"/>
        </w:rPr>
        <w:t>100</w:t>
      </w:r>
      <w:r>
        <w:rPr>
          <w:rFonts w:hint="eastAsia"/>
          <w:color w:val="auto"/>
          <w:kern w:val="0"/>
          <w:szCs w:val="32"/>
        </w:rPr>
        <w:t>.00</w:t>
      </w:r>
      <w:r>
        <w:rPr>
          <w:color w:val="auto"/>
          <w:kern w:val="0"/>
          <w:szCs w:val="32"/>
        </w:rPr>
        <w:t>%。项目</w:t>
      </w:r>
      <w:r>
        <w:rPr>
          <w:rFonts w:hint="eastAsia"/>
          <w:color w:val="auto"/>
          <w:kern w:val="0"/>
          <w:szCs w:val="32"/>
          <w:lang w:eastAsia="zh-CN"/>
        </w:rPr>
        <w:t>计划</w:t>
      </w:r>
      <w:r>
        <w:rPr>
          <w:color w:val="auto"/>
          <w:kern w:val="0"/>
          <w:szCs w:val="32"/>
        </w:rPr>
        <w:t>改造</w:t>
      </w:r>
      <w:r>
        <w:rPr>
          <w:rFonts w:hint="eastAsia"/>
          <w:color w:val="auto"/>
          <w:kern w:val="0"/>
          <w:szCs w:val="32"/>
          <w:lang w:eastAsia="zh-CN"/>
        </w:rPr>
        <w:t>南教学楼</w:t>
      </w:r>
      <w:r>
        <w:rPr>
          <w:rFonts w:hint="eastAsia"/>
          <w:color w:val="auto"/>
          <w:kern w:val="0"/>
          <w:szCs w:val="32"/>
          <w:lang w:val="en-US" w:eastAsia="zh-CN"/>
        </w:rPr>
        <w:t>2885</w:t>
      </w:r>
      <w:r>
        <w:rPr>
          <w:rFonts w:hint="eastAsia"/>
          <w:color w:val="auto"/>
          <w:kern w:val="0"/>
          <w:szCs w:val="32"/>
          <w:lang w:eastAsia="zh-CN"/>
        </w:rPr>
        <w:t>平方</w:t>
      </w:r>
      <w:r>
        <w:rPr>
          <w:color w:val="auto"/>
          <w:kern w:val="0"/>
          <w:szCs w:val="32"/>
        </w:rPr>
        <w:t>米，</w:t>
      </w:r>
      <w:r>
        <w:rPr>
          <w:rFonts w:hint="eastAsia"/>
          <w:color w:val="auto"/>
          <w:kern w:val="0"/>
          <w:szCs w:val="32"/>
          <w:lang w:val="en-US" w:eastAsia="zh-CN"/>
        </w:rPr>
        <w:t>已按照合同约定期限</w:t>
      </w:r>
      <w:r>
        <w:rPr>
          <w:color w:val="auto"/>
          <w:kern w:val="0"/>
          <w:szCs w:val="32"/>
        </w:rPr>
        <w:t>完成</w:t>
      </w:r>
      <w:r>
        <w:rPr>
          <w:rFonts w:hint="eastAsia"/>
          <w:color w:val="auto"/>
          <w:kern w:val="0"/>
          <w:szCs w:val="32"/>
          <w:lang w:eastAsia="zh-CN"/>
        </w:rPr>
        <w:t>改造任务，</w:t>
      </w:r>
      <w:r>
        <w:rPr>
          <w:rFonts w:hint="eastAsia"/>
          <w:color w:val="auto"/>
          <w:lang w:val="en-US" w:eastAsia="zh-CN"/>
        </w:rPr>
        <w:t>且</w:t>
      </w:r>
      <w:r>
        <w:rPr>
          <w:rFonts w:hint="eastAsia"/>
          <w:color w:val="auto"/>
          <w:highlight w:val="none"/>
          <w:lang w:val="en-US" w:eastAsia="zh-CN"/>
        </w:rPr>
        <w:t>竣工验收报告由建设单位、监理单位、设计单位、施工单位共同签署，验收合格。</w:t>
      </w:r>
    </w:p>
    <w:p w14:paraId="76DC0ACB">
      <w:pPr>
        <w:pStyle w:val="3"/>
        <w:keepNext w:val="0"/>
        <w:keepLines w:val="0"/>
        <w:pageBreakBefore w:val="0"/>
        <w:kinsoku/>
        <w:wordWrap/>
        <w:overflowPunct/>
        <w:topLinePunct w:val="0"/>
        <w:autoSpaceDE/>
        <w:autoSpaceDN/>
        <w:bidi w:val="0"/>
        <w:spacing w:line="580" w:lineRule="exact"/>
        <w:ind w:firstLine="643"/>
        <w:textAlignment w:val="auto"/>
        <w:rPr>
          <w:b/>
          <w:bCs/>
          <w:color w:val="auto"/>
        </w:rPr>
      </w:pPr>
      <w:r>
        <w:rPr>
          <w:b/>
          <w:bCs/>
          <w:color w:val="auto"/>
        </w:rPr>
        <w:t>（四）项目效益情况</w:t>
      </w:r>
    </w:p>
    <w:p w14:paraId="354BD3D8">
      <w:pPr>
        <w:pStyle w:val="7"/>
        <w:keepNext w:val="0"/>
        <w:keepLines w:val="0"/>
        <w:pageBreakBefore w:val="0"/>
        <w:kinsoku/>
        <w:wordWrap/>
        <w:overflowPunct/>
        <w:topLinePunct w:val="0"/>
        <w:autoSpaceDE/>
        <w:autoSpaceDN/>
        <w:bidi w:val="0"/>
        <w:spacing w:line="580" w:lineRule="exact"/>
        <w:ind w:firstLine="640"/>
        <w:textAlignment w:val="auto"/>
        <w:rPr>
          <w:color w:val="auto"/>
          <w:highlight w:val="yellow"/>
        </w:rPr>
      </w:pPr>
      <w:r>
        <w:rPr>
          <w:color w:val="auto"/>
          <w:kern w:val="0"/>
          <w:szCs w:val="32"/>
        </w:rPr>
        <w:t>效益类指标包含3个二级指标、</w:t>
      </w:r>
      <w:r>
        <w:rPr>
          <w:rFonts w:hint="eastAsia"/>
          <w:color w:val="auto"/>
          <w:kern w:val="0"/>
          <w:szCs w:val="32"/>
          <w:lang w:val="en-US" w:eastAsia="zh-CN"/>
        </w:rPr>
        <w:t>5</w:t>
      </w:r>
      <w:r>
        <w:rPr>
          <w:color w:val="auto"/>
          <w:kern w:val="0"/>
          <w:szCs w:val="32"/>
        </w:rPr>
        <w:t>个三级指标，权重分值为30分，得分</w:t>
      </w:r>
      <w:r>
        <w:rPr>
          <w:rFonts w:hint="eastAsia"/>
          <w:color w:val="auto"/>
          <w:kern w:val="0"/>
          <w:szCs w:val="32"/>
          <w:lang w:val="en-US" w:eastAsia="zh-CN"/>
        </w:rPr>
        <w:t>19.22</w:t>
      </w:r>
      <w:r>
        <w:rPr>
          <w:color w:val="auto"/>
          <w:kern w:val="0"/>
          <w:szCs w:val="32"/>
        </w:rPr>
        <w:t>分，得分率</w:t>
      </w:r>
      <w:r>
        <w:rPr>
          <w:rFonts w:hint="eastAsia"/>
          <w:color w:val="auto"/>
          <w:kern w:val="0"/>
          <w:szCs w:val="32"/>
          <w:lang w:val="en-US" w:eastAsia="zh-CN"/>
        </w:rPr>
        <w:t>64.07</w:t>
      </w:r>
      <w:r>
        <w:rPr>
          <w:color w:val="auto"/>
          <w:kern w:val="0"/>
          <w:szCs w:val="32"/>
        </w:rPr>
        <w:t>%。</w:t>
      </w:r>
      <w:r>
        <w:rPr>
          <w:rFonts w:hint="eastAsia"/>
          <w:color w:val="auto"/>
          <w:kern w:val="0"/>
          <w:szCs w:val="32"/>
          <w:lang w:val="en-US" w:eastAsia="zh-CN"/>
        </w:rPr>
        <w:t>该</w:t>
      </w:r>
      <w:r>
        <w:rPr>
          <w:rFonts w:hint="eastAsia"/>
          <w:color w:val="auto"/>
          <w:kern w:val="0"/>
          <w:szCs w:val="32"/>
        </w:rPr>
        <w:t>项目</w:t>
      </w:r>
      <w:r>
        <w:rPr>
          <w:rFonts w:hint="eastAsia"/>
          <w:color w:val="auto"/>
          <w:kern w:val="0"/>
          <w:szCs w:val="32"/>
          <w:lang w:val="en-US" w:eastAsia="zh-CN"/>
        </w:rPr>
        <w:t>的实施</w:t>
      </w:r>
      <w:r>
        <w:rPr>
          <w:rFonts w:hint="eastAsia"/>
          <w:color w:val="auto"/>
          <w:kern w:val="0"/>
          <w:szCs w:val="32"/>
          <w:lang w:eastAsia="zh-CN"/>
        </w:rPr>
        <w:t>，</w:t>
      </w:r>
      <w:r>
        <w:rPr>
          <w:rFonts w:hint="eastAsia"/>
          <w:color w:val="auto"/>
          <w:kern w:val="0"/>
          <w:szCs w:val="32"/>
        </w:rPr>
        <w:t>消除了南教学楼安全隐患，提升</w:t>
      </w:r>
      <w:r>
        <w:rPr>
          <w:rFonts w:hint="eastAsia"/>
          <w:color w:val="auto"/>
          <w:kern w:val="0"/>
          <w:szCs w:val="32"/>
          <w:lang w:val="en-US" w:eastAsia="zh-CN"/>
        </w:rPr>
        <w:t>了</w:t>
      </w:r>
      <w:r>
        <w:rPr>
          <w:rFonts w:hint="eastAsia"/>
          <w:color w:val="auto"/>
          <w:kern w:val="0"/>
          <w:szCs w:val="32"/>
        </w:rPr>
        <w:t>义马市外国语小学整体形象</w:t>
      </w:r>
      <w:r>
        <w:rPr>
          <w:color w:val="auto"/>
          <w:kern w:val="0"/>
          <w:szCs w:val="32"/>
        </w:rPr>
        <w:t>。但</w:t>
      </w:r>
      <w:r>
        <w:rPr>
          <w:rFonts w:hint="eastAsia"/>
          <w:color w:val="auto"/>
          <w:kern w:val="0"/>
          <w:szCs w:val="32"/>
          <w:lang w:val="en-US" w:eastAsia="zh-CN"/>
        </w:rPr>
        <w:t>项目</w:t>
      </w:r>
      <w:r>
        <w:rPr>
          <w:rFonts w:hint="eastAsia"/>
          <w:color w:val="auto"/>
          <w:kern w:val="0"/>
          <w:szCs w:val="32"/>
          <w:lang w:eastAsia="zh-CN"/>
        </w:rPr>
        <w:t>改造完</w:t>
      </w:r>
      <w:r>
        <w:rPr>
          <w:rFonts w:hint="eastAsia"/>
          <w:color w:val="auto"/>
          <w:kern w:val="0"/>
          <w:szCs w:val="32"/>
          <w:lang w:val="en-US" w:eastAsia="zh-CN"/>
        </w:rPr>
        <w:t>成</w:t>
      </w:r>
      <w:r>
        <w:rPr>
          <w:rFonts w:hint="eastAsia"/>
          <w:color w:val="auto"/>
          <w:kern w:val="0"/>
          <w:szCs w:val="32"/>
        </w:rPr>
        <w:t>使用一</w:t>
      </w:r>
      <w:r>
        <w:rPr>
          <w:rFonts w:hint="eastAsia"/>
          <w:color w:val="auto"/>
          <w:kern w:val="0"/>
          <w:szCs w:val="32"/>
          <w:highlight w:val="none"/>
        </w:rPr>
        <w:t>学期后自2024年</w:t>
      </w:r>
      <w:r>
        <w:rPr>
          <w:rFonts w:hint="eastAsia"/>
          <w:color w:val="auto"/>
          <w:kern w:val="0"/>
          <w:szCs w:val="32"/>
          <w:highlight w:val="none"/>
          <w:lang w:val="en-US" w:eastAsia="zh-CN"/>
        </w:rPr>
        <w:t>9月配餐使用的大厅及配套的餐桌椅、午休室等暂停使用，至绩效评价日</w:t>
      </w:r>
      <w:r>
        <w:rPr>
          <w:rFonts w:hint="eastAsia"/>
          <w:color w:val="auto"/>
          <w:kern w:val="0"/>
          <w:szCs w:val="32"/>
          <w:highlight w:val="none"/>
          <w:lang w:eastAsia="zh-CN"/>
        </w:rPr>
        <w:t>仍</w:t>
      </w:r>
      <w:r>
        <w:rPr>
          <w:rFonts w:hint="eastAsia"/>
          <w:color w:val="auto"/>
          <w:kern w:val="0"/>
          <w:szCs w:val="32"/>
          <w:highlight w:val="none"/>
        </w:rPr>
        <w:t>处于闲置状态，未能</w:t>
      </w:r>
      <w:r>
        <w:rPr>
          <w:rFonts w:hint="eastAsia"/>
          <w:color w:val="auto"/>
          <w:kern w:val="0"/>
          <w:szCs w:val="32"/>
          <w:highlight w:val="none"/>
          <w:lang w:eastAsia="zh-CN"/>
        </w:rPr>
        <w:t>发挥应有的</w:t>
      </w:r>
      <w:r>
        <w:rPr>
          <w:rFonts w:hint="eastAsia"/>
          <w:color w:val="auto"/>
          <w:kern w:val="0"/>
          <w:szCs w:val="32"/>
          <w:highlight w:val="none"/>
        </w:rPr>
        <w:t>作用，</w:t>
      </w:r>
      <w:r>
        <w:rPr>
          <w:rFonts w:hint="eastAsia"/>
          <w:color w:val="auto"/>
          <w:kern w:val="0"/>
          <w:szCs w:val="32"/>
          <w:highlight w:val="none"/>
          <w:lang w:val="en-US" w:eastAsia="zh-CN"/>
        </w:rPr>
        <w:t>财政资金未充分发挥效益</w:t>
      </w:r>
      <w:r>
        <w:rPr>
          <w:rFonts w:hint="eastAsia"/>
          <w:color w:val="auto"/>
          <w:kern w:val="0"/>
          <w:szCs w:val="32"/>
          <w:highlight w:val="none"/>
        </w:rPr>
        <w:t>。</w:t>
      </w:r>
    </w:p>
    <w:p w14:paraId="6B23D80B">
      <w:pPr>
        <w:pStyle w:val="2"/>
        <w:keepNext w:val="0"/>
        <w:keepLines w:val="0"/>
        <w:pageBreakBefore w:val="0"/>
        <w:kinsoku/>
        <w:wordWrap/>
        <w:overflowPunct/>
        <w:topLinePunct w:val="0"/>
        <w:autoSpaceDE/>
        <w:autoSpaceDN/>
        <w:bidi w:val="0"/>
        <w:spacing w:line="580" w:lineRule="exact"/>
        <w:ind w:left="0" w:leftChars="0" w:firstLine="0" w:firstLineChars="0"/>
        <w:textAlignment w:val="auto"/>
        <w:rPr>
          <w:color w:val="auto"/>
        </w:rPr>
      </w:pPr>
      <w:bookmarkStart w:id="119" w:name="_Toc17654"/>
      <w:bookmarkStart w:id="120" w:name="_Toc24579"/>
      <w:r>
        <w:rPr>
          <w:rFonts w:hint="eastAsia"/>
          <w:color w:val="auto"/>
          <w:lang w:val="en-US" w:eastAsia="zh-CN"/>
        </w:rPr>
        <w:t>四</w:t>
      </w:r>
      <w:r>
        <w:rPr>
          <w:color w:val="auto"/>
        </w:rPr>
        <w:t>、主要经验及做法</w:t>
      </w:r>
      <w:bookmarkEnd w:id="119"/>
      <w:bookmarkEnd w:id="120"/>
    </w:p>
    <w:p w14:paraId="745A7EFA">
      <w:pPr>
        <w:keepNext w:val="0"/>
        <w:keepLines w:val="0"/>
        <w:pageBreakBefore w:val="0"/>
        <w:kinsoku/>
        <w:wordWrap/>
        <w:overflowPunct/>
        <w:topLinePunct w:val="0"/>
        <w:autoSpaceDE/>
        <w:autoSpaceDN/>
        <w:bidi w:val="0"/>
        <w:adjustRightInd w:val="0"/>
        <w:snapToGrid w:val="0"/>
        <w:spacing w:line="580" w:lineRule="exact"/>
        <w:ind w:firstLine="640"/>
        <w:textAlignment w:val="auto"/>
        <w:rPr>
          <w:color w:val="auto"/>
        </w:rPr>
      </w:pPr>
      <w:r>
        <w:rPr>
          <w:color w:val="auto"/>
        </w:rPr>
        <w:t>为推进</w:t>
      </w:r>
      <w:r>
        <w:rPr>
          <w:rFonts w:hint="eastAsia"/>
          <w:color w:val="auto"/>
        </w:rPr>
        <w:t>义马市外国语小学南教学楼改造项目</w:t>
      </w:r>
      <w:r>
        <w:rPr>
          <w:color w:val="auto"/>
        </w:rPr>
        <w:t>的实施，</w:t>
      </w:r>
      <w:r>
        <w:rPr>
          <w:rFonts w:hint="eastAsia"/>
          <w:color w:val="auto"/>
          <w:lang w:eastAsia="zh-CN"/>
        </w:rPr>
        <w:t>市教体局</w:t>
      </w:r>
      <w:r>
        <w:rPr>
          <w:color w:val="auto"/>
        </w:rPr>
        <w:t>加强组织领导，</w:t>
      </w:r>
      <w:r>
        <w:rPr>
          <w:rFonts w:hint="eastAsia"/>
          <w:color w:val="auto"/>
        </w:rPr>
        <w:t>义马市外国语小学</w:t>
      </w:r>
      <w:r>
        <w:rPr>
          <w:color w:val="auto"/>
        </w:rPr>
        <w:t>强化责任担当，积极协调推进项目财政评审、项目招投标、可行性研究等前期工作，坚持科学施工，聘请专业监理人员，施工期间严把质量关，保证所</w:t>
      </w:r>
      <w:r>
        <w:rPr>
          <w:rFonts w:hint="eastAsia"/>
          <w:color w:val="auto"/>
          <w:lang w:val="en-US" w:eastAsia="zh-CN"/>
        </w:rPr>
        <w:t>用</w:t>
      </w:r>
      <w:r>
        <w:rPr>
          <w:color w:val="auto"/>
        </w:rPr>
        <w:t>材料符合质量标准，确保工程质量</w:t>
      </w:r>
      <w:r>
        <w:rPr>
          <w:rFonts w:hint="eastAsia"/>
          <w:color w:val="auto"/>
          <w:lang w:eastAsia="zh-CN"/>
        </w:rPr>
        <w:t>，</w:t>
      </w:r>
      <w:r>
        <w:rPr>
          <w:rFonts w:hint="eastAsia"/>
          <w:color w:val="auto"/>
        </w:rPr>
        <w:t>推进项目顺利实施。</w:t>
      </w:r>
    </w:p>
    <w:p w14:paraId="5F066AEF">
      <w:pPr>
        <w:pStyle w:val="2"/>
        <w:keepNext w:val="0"/>
        <w:keepLines w:val="0"/>
        <w:pageBreakBefore w:val="0"/>
        <w:kinsoku/>
        <w:wordWrap/>
        <w:overflowPunct/>
        <w:topLinePunct w:val="0"/>
        <w:autoSpaceDE/>
        <w:autoSpaceDN/>
        <w:bidi w:val="0"/>
        <w:spacing w:line="580" w:lineRule="exact"/>
        <w:ind w:left="0" w:leftChars="0" w:firstLine="0" w:firstLineChars="0"/>
        <w:textAlignment w:val="auto"/>
        <w:rPr>
          <w:color w:val="auto"/>
        </w:rPr>
      </w:pPr>
      <w:bookmarkStart w:id="121" w:name="_Toc27000"/>
      <w:bookmarkStart w:id="122" w:name="_Toc24524"/>
      <w:r>
        <w:rPr>
          <w:rFonts w:hint="eastAsia"/>
          <w:color w:val="auto"/>
          <w:lang w:val="en-US" w:eastAsia="zh-CN"/>
        </w:rPr>
        <w:t>五</w:t>
      </w:r>
      <w:r>
        <w:rPr>
          <w:color w:val="auto"/>
        </w:rPr>
        <w:t>、存在问题和建议</w:t>
      </w:r>
      <w:bookmarkEnd w:id="121"/>
      <w:bookmarkEnd w:id="122"/>
    </w:p>
    <w:p w14:paraId="1262A4F6">
      <w:pPr>
        <w:pStyle w:val="3"/>
        <w:keepNext w:val="0"/>
        <w:keepLines w:val="0"/>
        <w:pageBreakBefore w:val="0"/>
        <w:kinsoku/>
        <w:wordWrap/>
        <w:overflowPunct/>
        <w:topLinePunct w:val="0"/>
        <w:autoSpaceDE/>
        <w:autoSpaceDN/>
        <w:bidi w:val="0"/>
        <w:spacing w:line="580" w:lineRule="exact"/>
        <w:ind w:firstLine="643"/>
        <w:textAlignment w:val="auto"/>
        <w:rPr>
          <w:b/>
          <w:bCs/>
          <w:color w:val="auto"/>
        </w:rPr>
      </w:pPr>
      <w:r>
        <w:rPr>
          <w:b/>
          <w:bCs/>
          <w:color w:val="auto"/>
        </w:rPr>
        <w:t>（一）存在问题</w:t>
      </w:r>
    </w:p>
    <w:p w14:paraId="3DD94236">
      <w:pPr>
        <w:keepNext w:val="0"/>
        <w:keepLines w:val="0"/>
        <w:pageBreakBefore w:val="0"/>
        <w:kinsoku/>
        <w:wordWrap/>
        <w:overflowPunct/>
        <w:topLinePunct w:val="0"/>
        <w:autoSpaceDE/>
        <w:autoSpaceDN/>
        <w:bidi w:val="0"/>
        <w:spacing w:line="580" w:lineRule="exact"/>
        <w:ind w:left="0" w:leftChars="0" w:firstLine="643" w:firstLineChars="200"/>
        <w:textAlignment w:val="auto"/>
        <w:outlineLvl w:val="2"/>
        <w:rPr>
          <w:rFonts w:hint="eastAsia" w:eastAsia="仿宋_GB2312"/>
          <w:b/>
          <w:bCs/>
          <w:color w:val="auto"/>
          <w:lang w:eastAsia="zh-CN"/>
        </w:rPr>
      </w:pPr>
      <w:r>
        <w:rPr>
          <w:b/>
          <w:bCs/>
          <w:color w:val="auto"/>
        </w:rPr>
        <w:t>1.</w:t>
      </w:r>
      <w:r>
        <w:rPr>
          <w:rFonts w:hint="eastAsia"/>
          <w:b/>
          <w:bCs/>
          <w:color w:val="auto"/>
          <w:lang w:eastAsia="zh-CN"/>
        </w:rPr>
        <w:t>项目建成后闲置，</w:t>
      </w:r>
      <w:r>
        <w:rPr>
          <w:rFonts w:hint="eastAsia"/>
          <w:b/>
          <w:bCs/>
          <w:color w:val="auto"/>
          <w:kern w:val="0"/>
          <w:szCs w:val="32"/>
          <w:lang w:val="en-US" w:eastAsia="zh-CN"/>
        </w:rPr>
        <w:t>财政资金未充分发挥效益</w:t>
      </w:r>
    </w:p>
    <w:p w14:paraId="78542BA2">
      <w:pPr>
        <w:keepNext w:val="0"/>
        <w:keepLines w:val="0"/>
        <w:pageBreakBefore w:val="0"/>
        <w:kinsoku/>
        <w:wordWrap/>
        <w:overflowPunct/>
        <w:topLinePunct w:val="0"/>
        <w:autoSpaceDE/>
        <w:autoSpaceDN/>
        <w:bidi w:val="0"/>
        <w:spacing w:line="580" w:lineRule="exact"/>
        <w:ind w:firstLine="640"/>
        <w:textAlignment w:val="auto"/>
        <w:rPr>
          <w:rFonts w:hint="eastAsia" w:eastAsia="仿宋_GB2312"/>
          <w:color w:val="auto"/>
          <w:lang w:eastAsia="zh-CN"/>
        </w:rPr>
      </w:pPr>
      <w:r>
        <w:rPr>
          <w:rFonts w:hint="eastAsia"/>
          <w:color w:val="auto"/>
          <w:lang w:eastAsia="zh-CN"/>
        </w:rPr>
        <w:t>该项目</w:t>
      </w:r>
      <w:r>
        <w:rPr>
          <w:rFonts w:hint="eastAsia"/>
          <w:color w:val="auto"/>
          <w:lang w:val="en-US" w:eastAsia="zh-CN"/>
        </w:rPr>
        <w:t>2022年12月9日竣工验收，2023年8月31日出具竣工结算审核报告。南教学楼使用一学期后自</w:t>
      </w:r>
      <w:r>
        <w:rPr>
          <w:rFonts w:hint="eastAsia"/>
          <w:color w:val="auto"/>
          <w:highlight w:val="none"/>
          <w:lang w:val="en-US" w:eastAsia="zh-CN"/>
        </w:rPr>
        <w:t>2024年9月份因暂停学生配餐，供配餐使用的大厅及配套的餐桌椅、午休室等暂停使用，至绩效评价日仍处于闲置状态</w:t>
      </w:r>
      <w:r>
        <w:rPr>
          <w:rFonts w:hint="eastAsia"/>
          <w:color w:val="auto"/>
          <w:highlight w:val="none"/>
          <w:lang w:eastAsia="zh-CN"/>
        </w:rPr>
        <w:t>，</w:t>
      </w:r>
      <w:r>
        <w:rPr>
          <w:rFonts w:hint="eastAsia"/>
          <w:color w:val="auto"/>
          <w:lang w:eastAsia="zh-CN"/>
        </w:rPr>
        <w:t>未能起到应有的作用，</w:t>
      </w:r>
      <w:r>
        <w:rPr>
          <w:rFonts w:hint="eastAsia"/>
          <w:color w:val="auto"/>
          <w:kern w:val="0"/>
          <w:szCs w:val="32"/>
          <w:lang w:val="en-US" w:eastAsia="zh-CN"/>
        </w:rPr>
        <w:t>财政资金未充分发挥效益</w:t>
      </w:r>
      <w:r>
        <w:rPr>
          <w:rFonts w:hint="eastAsia"/>
          <w:color w:val="auto"/>
          <w:lang w:eastAsia="zh-CN"/>
        </w:rPr>
        <w:t>。</w:t>
      </w:r>
    </w:p>
    <w:p w14:paraId="08BEE266">
      <w:pPr>
        <w:keepNext w:val="0"/>
        <w:keepLines w:val="0"/>
        <w:pageBreakBefore w:val="0"/>
        <w:kinsoku/>
        <w:wordWrap/>
        <w:overflowPunct/>
        <w:topLinePunct w:val="0"/>
        <w:autoSpaceDE/>
        <w:autoSpaceDN/>
        <w:bidi w:val="0"/>
        <w:spacing w:line="580" w:lineRule="exact"/>
        <w:ind w:left="320" w:leftChars="100" w:firstLine="321" w:firstLineChars="100"/>
        <w:textAlignment w:val="auto"/>
        <w:outlineLvl w:val="2"/>
        <w:rPr>
          <w:rFonts w:hint="eastAsia" w:eastAsia="仿宋_GB2312"/>
          <w:color w:val="auto"/>
          <w:lang w:eastAsia="zh-CN"/>
        </w:rPr>
      </w:pPr>
      <w:r>
        <w:rPr>
          <w:rFonts w:hint="eastAsia"/>
          <w:b/>
          <w:bCs/>
          <w:color w:val="auto"/>
          <w:lang w:val="en-US" w:eastAsia="zh-CN"/>
        </w:rPr>
        <w:t>2</w:t>
      </w:r>
      <w:r>
        <w:rPr>
          <w:b/>
          <w:bCs/>
          <w:color w:val="auto"/>
        </w:rPr>
        <w:t>.项目</w:t>
      </w:r>
      <w:r>
        <w:rPr>
          <w:rFonts w:hint="eastAsia"/>
          <w:b/>
          <w:bCs/>
          <w:color w:val="auto"/>
          <w:lang w:eastAsia="zh-CN"/>
        </w:rPr>
        <w:t>实际投资超出批复投资估算</w:t>
      </w:r>
    </w:p>
    <w:p w14:paraId="0EB5FC9D">
      <w:pPr>
        <w:keepNext w:val="0"/>
        <w:keepLines w:val="0"/>
        <w:pageBreakBefore w:val="0"/>
        <w:kinsoku/>
        <w:wordWrap/>
        <w:overflowPunct/>
        <w:topLinePunct w:val="0"/>
        <w:autoSpaceDE/>
        <w:autoSpaceDN/>
        <w:bidi w:val="0"/>
        <w:spacing w:line="580" w:lineRule="exact"/>
        <w:ind w:firstLine="640"/>
        <w:textAlignment w:val="auto"/>
        <w:rPr>
          <w:color w:val="auto"/>
        </w:rPr>
      </w:pPr>
      <w:r>
        <w:rPr>
          <w:rFonts w:hint="eastAsia"/>
          <w:color w:val="auto"/>
          <w:lang w:val="en-US" w:eastAsia="zh-CN"/>
        </w:rPr>
        <w:t>2022年6月，</w:t>
      </w:r>
      <w:r>
        <w:rPr>
          <w:rFonts w:hint="eastAsia"/>
          <w:color w:val="auto"/>
          <w:highlight w:val="none"/>
          <w:lang w:val="en-US" w:eastAsia="zh-CN"/>
        </w:rPr>
        <w:t>市发改委以</w:t>
      </w:r>
      <w:r>
        <w:rPr>
          <w:color w:val="auto"/>
          <w:highlight w:val="none"/>
        </w:rPr>
        <w:t>《</w:t>
      </w:r>
      <w:r>
        <w:rPr>
          <w:rFonts w:hint="eastAsia"/>
          <w:color w:val="auto"/>
          <w:highlight w:val="none"/>
        </w:rPr>
        <w:t>关于义马市外国语小学南教学楼改造项目可行性研究报告的批复</w:t>
      </w:r>
      <w:r>
        <w:rPr>
          <w:color w:val="auto"/>
          <w:highlight w:val="none"/>
        </w:rPr>
        <w:t>》（</w:t>
      </w:r>
      <w:r>
        <w:rPr>
          <w:rFonts w:hint="eastAsia"/>
          <w:color w:val="auto"/>
          <w:highlight w:val="none"/>
          <w:lang w:eastAsia="zh-CN"/>
        </w:rPr>
        <w:t>义</w:t>
      </w:r>
      <w:r>
        <w:rPr>
          <w:color w:val="auto"/>
          <w:highlight w:val="none"/>
        </w:rPr>
        <w:t>发改〔202</w:t>
      </w:r>
      <w:r>
        <w:rPr>
          <w:rFonts w:hint="eastAsia"/>
          <w:color w:val="auto"/>
          <w:highlight w:val="none"/>
          <w:lang w:val="en-US" w:eastAsia="zh-CN"/>
        </w:rPr>
        <w:t>2</w:t>
      </w:r>
      <w:r>
        <w:rPr>
          <w:color w:val="auto"/>
          <w:highlight w:val="none"/>
        </w:rPr>
        <w:t>〕</w:t>
      </w:r>
      <w:r>
        <w:rPr>
          <w:rFonts w:hint="eastAsia"/>
          <w:color w:val="auto"/>
          <w:highlight w:val="none"/>
          <w:lang w:val="en-US" w:eastAsia="zh-CN"/>
        </w:rPr>
        <w:t>59</w:t>
      </w:r>
      <w:r>
        <w:rPr>
          <w:color w:val="auto"/>
          <w:highlight w:val="none"/>
        </w:rPr>
        <w:t>号）</w:t>
      </w:r>
      <w:r>
        <w:rPr>
          <w:rFonts w:hint="eastAsia"/>
          <w:color w:val="auto"/>
          <w:lang w:val="en-US" w:eastAsia="zh-CN"/>
        </w:rPr>
        <w:t>批复该项目投资估算350.00万元。截至2023年底，义马市外国语小学前后签订了施工、设计、监理、造价咨询、可研编制等8份合同，其中施工合同经竣工结算审核，</w:t>
      </w:r>
      <w:r>
        <w:rPr>
          <w:rFonts w:hint="eastAsia"/>
          <w:color w:val="auto"/>
          <w:highlight w:val="none"/>
          <w:lang w:val="en-US" w:eastAsia="zh-CN"/>
        </w:rPr>
        <w:t>审定金额为368.20万元；其他7份合同金额合计11.07万元</w:t>
      </w:r>
      <w:r>
        <w:rPr>
          <w:rFonts w:hint="eastAsia"/>
          <w:color w:val="auto"/>
          <w:lang w:val="en-US" w:eastAsia="zh-CN"/>
        </w:rPr>
        <w:t>。8份合同应结算金额共379.27万元，超出投资估算29.27万元，超出率8.36%</w:t>
      </w:r>
      <w:r>
        <w:rPr>
          <w:color w:val="auto"/>
        </w:rPr>
        <w:t>。</w:t>
      </w:r>
      <w:r>
        <w:rPr>
          <w:rFonts w:hint="eastAsia"/>
          <w:color w:val="auto"/>
          <w:lang w:val="en-US" w:eastAsia="zh-CN"/>
        </w:rPr>
        <w:t>截至</w:t>
      </w:r>
      <w:r>
        <w:rPr>
          <w:rFonts w:hint="eastAsia"/>
          <w:color w:val="auto"/>
          <w:kern w:val="0"/>
          <w:szCs w:val="32"/>
        </w:rPr>
        <w:t>评</w:t>
      </w:r>
      <w:r>
        <w:rPr>
          <w:rFonts w:hint="eastAsia"/>
          <w:color w:val="auto"/>
          <w:kern w:val="0"/>
          <w:szCs w:val="32"/>
          <w:lang w:eastAsia="zh-CN"/>
        </w:rPr>
        <w:t>价</w:t>
      </w:r>
      <w:r>
        <w:rPr>
          <w:rFonts w:hint="eastAsia"/>
          <w:color w:val="auto"/>
          <w:kern w:val="0"/>
          <w:szCs w:val="32"/>
        </w:rPr>
        <w:t>日</w:t>
      </w:r>
      <w:r>
        <w:rPr>
          <w:rFonts w:hint="eastAsia"/>
          <w:color w:val="auto"/>
          <w:kern w:val="0"/>
          <w:szCs w:val="32"/>
          <w:lang w:eastAsia="zh-CN"/>
        </w:rPr>
        <w:t>，</w:t>
      </w:r>
      <w:r>
        <w:rPr>
          <w:rFonts w:hint="eastAsia"/>
          <w:color w:val="auto"/>
          <w:lang w:val="en-US" w:eastAsia="zh-CN"/>
        </w:rPr>
        <w:t>该项目尚未办理财务竣工决算。</w:t>
      </w:r>
    </w:p>
    <w:p w14:paraId="79BFE788">
      <w:pPr>
        <w:keepNext w:val="0"/>
        <w:keepLines w:val="0"/>
        <w:pageBreakBefore w:val="0"/>
        <w:kinsoku/>
        <w:wordWrap/>
        <w:overflowPunct/>
        <w:topLinePunct w:val="0"/>
        <w:autoSpaceDE/>
        <w:autoSpaceDN/>
        <w:bidi w:val="0"/>
        <w:spacing w:line="580" w:lineRule="exact"/>
        <w:ind w:left="320" w:leftChars="100" w:firstLine="321" w:firstLineChars="100"/>
        <w:textAlignment w:val="auto"/>
        <w:outlineLvl w:val="2"/>
        <w:rPr>
          <w:b/>
          <w:bCs/>
          <w:color w:val="auto"/>
        </w:rPr>
      </w:pPr>
      <w:r>
        <w:rPr>
          <w:rFonts w:hint="eastAsia"/>
          <w:b/>
          <w:bCs/>
          <w:color w:val="auto"/>
          <w:lang w:val="en-US" w:eastAsia="zh-CN"/>
        </w:rPr>
        <w:t>3</w:t>
      </w:r>
      <w:r>
        <w:rPr>
          <w:b/>
          <w:bCs/>
          <w:color w:val="auto"/>
        </w:rPr>
        <w:t>.</w:t>
      </w:r>
      <w:r>
        <w:rPr>
          <w:rFonts w:hint="eastAsia"/>
          <w:b/>
          <w:bCs/>
          <w:color w:val="auto"/>
          <w:lang w:val="en-US" w:eastAsia="zh-CN"/>
        </w:rPr>
        <w:t>合同约定的</w:t>
      </w:r>
      <w:r>
        <w:rPr>
          <w:rFonts w:hint="eastAsia"/>
          <w:b/>
          <w:bCs/>
          <w:color w:val="auto"/>
        </w:rPr>
        <w:t>工程</w:t>
      </w:r>
      <w:r>
        <w:rPr>
          <w:b/>
          <w:bCs/>
          <w:color w:val="auto"/>
        </w:rPr>
        <w:t>保修期不符合</w:t>
      </w:r>
      <w:r>
        <w:rPr>
          <w:rFonts w:hint="eastAsia"/>
          <w:b/>
          <w:bCs/>
          <w:color w:val="auto"/>
          <w:lang w:val="en-US" w:eastAsia="zh-CN"/>
        </w:rPr>
        <w:t>相关</w:t>
      </w:r>
      <w:r>
        <w:rPr>
          <w:b/>
          <w:bCs/>
          <w:color w:val="auto"/>
        </w:rPr>
        <w:t>规定</w:t>
      </w:r>
    </w:p>
    <w:p w14:paraId="68462012">
      <w:pPr>
        <w:keepNext w:val="0"/>
        <w:keepLines w:val="0"/>
        <w:pageBreakBefore w:val="0"/>
        <w:kinsoku/>
        <w:wordWrap/>
        <w:overflowPunct/>
        <w:topLinePunct w:val="0"/>
        <w:autoSpaceDE/>
        <w:autoSpaceDN/>
        <w:bidi w:val="0"/>
        <w:spacing w:line="580" w:lineRule="exact"/>
        <w:ind w:firstLine="640"/>
        <w:textAlignment w:val="auto"/>
        <w:rPr>
          <w:rFonts w:hint="eastAsia" w:ascii="仿宋_GB2312" w:hAnsi="仿宋_GB2312" w:cs="仿宋_GB2312"/>
          <w:color w:val="auto"/>
        </w:rPr>
      </w:pPr>
      <w:r>
        <w:rPr>
          <w:color w:val="auto"/>
        </w:rPr>
        <w:t>该项目施工合同约定的工程建设内容包括</w:t>
      </w:r>
      <w:r>
        <w:rPr>
          <w:rFonts w:hint="eastAsia"/>
          <w:color w:val="auto"/>
        </w:rPr>
        <w:t>室内外装修改造及水、电、暖改造</w:t>
      </w:r>
      <w:r>
        <w:rPr>
          <w:rFonts w:hint="eastAsia"/>
          <w:color w:val="auto"/>
          <w:lang w:eastAsia="zh-CN"/>
        </w:rPr>
        <w:t>、屋面防水</w:t>
      </w:r>
      <w:r>
        <w:rPr>
          <w:color w:val="auto"/>
        </w:rPr>
        <w:t>等，约定工程保修期为1年，不符合</w:t>
      </w:r>
      <w:r>
        <w:rPr>
          <w:rFonts w:hint="eastAsia" w:ascii="仿宋_GB2312" w:hAnsi="仿宋_GB2312" w:cs="仿宋_GB2312"/>
          <w:color w:val="auto"/>
        </w:rPr>
        <w:t>《建设工程质量管理条例》第四十条</w:t>
      </w:r>
      <w:r>
        <w:rPr>
          <w:rFonts w:hint="eastAsia" w:ascii="仿宋_GB2312" w:hAnsi="仿宋_GB2312" w:cs="仿宋_GB2312"/>
          <w:color w:val="auto"/>
          <w:lang w:eastAsia="zh-CN"/>
        </w:rPr>
        <w:t>“</w:t>
      </w:r>
      <w:r>
        <w:rPr>
          <w:rFonts w:hint="eastAsia" w:ascii="仿宋_GB2312" w:hAnsi="仿宋_GB2312" w:cs="仿宋_GB2312"/>
          <w:color w:val="auto"/>
        </w:rPr>
        <w:t>在正常使用条件下，建设工程的最低保修期限为：……</w:t>
      </w:r>
      <w:r>
        <w:rPr>
          <w:rFonts w:hint="eastAsia" w:ascii="仿宋_GB2312" w:hAnsi="仿宋_GB2312" w:cs="仿宋_GB2312"/>
          <w:color w:val="auto"/>
          <w:lang w:eastAsia="zh-CN"/>
        </w:rPr>
        <w:t>（</w:t>
      </w:r>
      <w:r>
        <w:rPr>
          <w:rFonts w:hint="eastAsia" w:ascii="仿宋_GB2312" w:hAnsi="仿宋_GB2312" w:cs="仿宋_GB2312"/>
          <w:color w:val="auto"/>
        </w:rPr>
        <w:t>二</w:t>
      </w:r>
      <w:r>
        <w:rPr>
          <w:rFonts w:hint="eastAsia" w:ascii="仿宋_GB2312" w:hAnsi="仿宋_GB2312" w:cs="仿宋_GB2312"/>
          <w:color w:val="auto"/>
          <w:lang w:eastAsia="zh-CN"/>
        </w:rPr>
        <w:t>）</w:t>
      </w:r>
      <w:r>
        <w:rPr>
          <w:rFonts w:hint="eastAsia" w:ascii="仿宋_GB2312" w:hAnsi="仿宋_GB2312" w:cs="仿宋_GB2312"/>
          <w:color w:val="auto"/>
        </w:rPr>
        <w:t>屋面防水工程、有防水要求的卫生间、房间和外墙面的防渗漏，为5年；</w:t>
      </w:r>
      <w:r>
        <w:rPr>
          <w:rFonts w:hint="eastAsia" w:ascii="仿宋_GB2312" w:hAnsi="仿宋_GB2312" w:cs="仿宋_GB2312"/>
          <w:color w:val="auto"/>
          <w:lang w:eastAsia="zh-CN"/>
        </w:rPr>
        <w:t>（</w:t>
      </w:r>
      <w:r>
        <w:rPr>
          <w:rFonts w:hint="eastAsia" w:ascii="仿宋_GB2312" w:hAnsi="仿宋_GB2312" w:cs="仿宋_GB2312"/>
          <w:color w:val="auto"/>
        </w:rPr>
        <w:t>三</w:t>
      </w:r>
      <w:r>
        <w:rPr>
          <w:rFonts w:hint="eastAsia" w:ascii="仿宋_GB2312" w:hAnsi="仿宋_GB2312" w:cs="仿宋_GB2312"/>
          <w:color w:val="auto"/>
          <w:lang w:eastAsia="zh-CN"/>
        </w:rPr>
        <w:t>）</w:t>
      </w:r>
      <w:r>
        <w:rPr>
          <w:rFonts w:hint="eastAsia" w:ascii="仿宋_GB2312" w:hAnsi="仿宋_GB2312" w:cs="仿宋_GB2312"/>
          <w:color w:val="auto"/>
        </w:rPr>
        <w:t>供热与供冷系统，为2个采暖期、供冷期；（四）电气管线、给排水管道、设备安装和装修工程为2年</w:t>
      </w:r>
      <w:r>
        <w:rPr>
          <w:rFonts w:hint="eastAsia" w:ascii="仿宋_GB2312" w:hAnsi="仿宋_GB2312" w:cs="仿宋_GB2312"/>
          <w:color w:val="auto"/>
          <w:lang w:eastAsia="zh-CN"/>
        </w:rPr>
        <w:t>”</w:t>
      </w:r>
      <w:r>
        <w:rPr>
          <w:rFonts w:hint="eastAsia" w:ascii="仿宋_GB2312" w:hAnsi="仿宋_GB2312" w:cs="仿宋_GB2312"/>
          <w:color w:val="auto"/>
        </w:rPr>
        <w:t>的规定。</w:t>
      </w:r>
    </w:p>
    <w:p w14:paraId="617051EA">
      <w:pPr>
        <w:keepNext w:val="0"/>
        <w:keepLines w:val="0"/>
        <w:pageBreakBefore w:val="0"/>
        <w:kinsoku/>
        <w:wordWrap/>
        <w:overflowPunct/>
        <w:topLinePunct w:val="0"/>
        <w:autoSpaceDE/>
        <w:autoSpaceDN/>
        <w:bidi w:val="0"/>
        <w:spacing w:line="580" w:lineRule="exact"/>
        <w:ind w:left="320" w:leftChars="100" w:firstLine="321" w:firstLineChars="100"/>
        <w:textAlignment w:val="auto"/>
        <w:outlineLvl w:val="2"/>
        <w:rPr>
          <w:b/>
          <w:bCs/>
          <w:color w:val="auto"/>
        </w:rPr>
      </w:pPr>
      <w:r>
        <w:rPr>
          <w:rFonts w:hint="eastAsia"/>
          <w:b/>
          <w:bCs/>
          <w:color w:val="auto"/>
          <w:lang w:val="en-US" w:eastAsia="zh-CN"/>
        </w:rPr>
        <w:t>4</w:t>
      </w:r>
      <w:r>
        <w:rPr>
          <w:b/>
          <w:bCs/>
          <w:color w:val="auto"/>
        </w:rPr>
        <w:t>.</w:t>
      </w:r>
      <w:r>
        <w:rPr>
          <w:rFonts w:hint="eastAsia"/>
          <w:b/>
          <w:bCs/>
          <w:color w:val="auto"/>
        </w:rPr>
        <w:t>资金支付未按规定履行</w:t>
      </w:r>
      <w:r>
        <w:rPr>
          <w:rFonts w:hint="eastAsia"/>
          <w:b/>
          <w:bCs/>
          <w:color w:val="auto"/>
          <w:lang w:eastAsia="zh-CN"/>
        </w:rPr>
        <w:t>“</w:t>
      </w:r>
      <w:r>
        <w:rPr>
          <w:rFonts w:hint="eastAsia"/>
          <w:b/>
          <w:bCs/>
          <w:color w:val="auto"/>
        </w:rPr>
        <w:t>三重一大</w:t>
      </w:r>
      <w:r>
        <w:rPr>
          <w:rFonts w:hint="eastAsia"/>
          <w:b/>
          <w:bCs/>
          <w:color w:val="auto"/>
          <w:lang w:eastAsia="zh-CN"/>
        </w:rPr>
        <w:t>”</w:t>
      </w:r>
      <w:r>
        <w:rPr>
          <w:rFonts w:hint="eastAsia"/>
          <w:b/>
          <w:bCs/>
          <w:color w:val="auto"/>
        </w:rPr>
        <w:t>集体决策程序</w:t>
      </w:r>
    </w:p>
    <w:p w14:paraId="4B2A4AA6">
      <w:pPr>
        <w:keepNext w:val="0"/>
        <w:keepLines w:val="0"/>
        <w:pageBreakBefore w:val="0"/>
        <w:kinsoku/>
        <w:wordWrap/>
        <w:overflowPunct/>
        <w:topLinePunct w:val="0"/>
        <w:autoSpaceDE/>
        <w:autoSpaceDN/>
        <w:bidi w:val="0"/>
        <w:spacing w:line="580" w:lineRule="exact"/>
        <w:ind w:firstLine="640"/>
        <w:textAlignment w:val="auto"/>
        <w:rPr>
          <w:color w:val="auto"/>
        </w:rPr>
      </w:pPr>
      <w:r>
        <w:rPr>
          <w:rFonts w:hint="eastAsia"/>
          <w:color w:val="auto"/>
          <w:highlight w:val="none"/>
          <w:lang w:eastAsia="zh-CN"/>
        </w:rPr>
        <w:t>该项目</w:t>
      </w:r>
      <w:r>
        <w:rPr>
          <w:rFonts w:hint="eastAsia"/>
          <w:color w:val="auto"/>
          <w:highlight w:val="none"/>
          <w:lang w:val="en-US" w:eastAsia="zh-CN"/>
        </w:rPr>
        <w:t>列支超1万元以上资金支出时，</w:t>
      </w:r>
      <w:r>
        <w:rPr>
          <w:rFonts w:hint="eastAsia"/>
          <w:color w:val="auto"/>
          <w:highlight w:val="none"/>
          <w:lang w:eastAsia="zh-CN"/>
        </w:rPr>
        <w:t>付款凭证后附付款申请、报销审批单、发票、银行回单等</w:t>
      </w:r>
      <w:r>
        <w:rPr>
          <w:rFonts w:hint="eastAsia"/>
          <w:color w:val="auto"/>
          <w:highlight w:val="none"/>
          <w:lang w:val="en-US" w:eastAsia="zh-CN"/>
        </w:rPr>
        <w:t>资料</w:t>
      </w:r>
      <w:r>
        <w:rPr>
          <w:rFonts w:hint="eastAsia"/>
          <w:color w:val="auto"/>
          <w:highlight w:val="none"/>
          <w:lang w:eastAsia="zh-CN"/>
        </w:rPr>
        <w:t>，</w:t>
      </w:r>
      <w:r>
        <w:rPr>
          <w:rFonts w:hint="eastAsia"/>
          <w:color w:val="auto"/>
          <w:highlight w:val="none"/>
          <w:lang w:val="en-US" w:eastAsia="zh-CN"/>
        </w:rPr>
        <w:t>但</w:t>
      </w:r>
      <w:r>
        <w:rPr>
          <w:rFonts w:hint="eastAsia"/>
          <w:color w:val="auto"/>
          <w:highlight w:val="none"/>
          <w:lang w:eastAsia="zh-CN"/>
        </w:rPr>
        <w:t>未见履行“</w:t>
      </w:r>
      <w:r>
        <w:rPr>
          <w:rFonts w:hint="eastAsia"/>
          <w:color w:val="auto"/>
          <w:highlight w:val="none"/>
        </w:rPr>
        <w:t>三重一大</w:t>
      </w:r>
      <w:r>
        <w:rPr>
          <w:rFonts w:hint="eastAsia"/>
          <w:color w:val="auto"/>
          <w:highlight w:val="none"/>
          <w:lang w:eastAsia="zh-CN"/>
        </w:rPr>
        <w:t>”</w:t>
      </w:r>
      <w:r>
        <w:rPr>
          <w:rFonts w:hint="eastAsia"/>
          <w:color w:val="auto"/>
          <w:highlight w:val="none"/>
        </w:rPr>
        <w:t>集体决策程序，</w:t>
      </w:r>
      <w:r>
        <w:rPr>
          <w:rFonts w:hint="eastAsia"/>
          <w:color w:val="auto"/>
        </w:rPr>
        <w:t>不符合义马市教育体育局《关于规范教体系统财务报销审批程序的通知》（义教体文〔2017〕44号）</w:t>
      </w:r>
      <w:r>
        <w:rPr>
          <w:rFonts w:hint="eastAsia"/>
          <w:color w:val="auto"/>
          <w:lang w:eastAsia="zh-CN"/>
        </w:rPr>
        <w:t>“</w:t>
      </w:r>
      <w:r>
        <w:rPr>
          <w:rFonts w:hint="eastAsia"/>
          <w:color w:val="auto"/>
        </w:rPr>
        <w:t>凡是大额资金支出，全部要通过班子会集体研究决定，并做好相关会议记录。大额资金的具体限额如下：A类学校和市高中、市直幼儿园10000元（含10000）以上</w:t>
      </w:r>
      <w:r>
        <w:rPr>
          <w:rFonts w:hint="eastAsia"/>
          <w:color w:val="auto"/>
          <w:lang w:eastAsia="zh-CN"/>
        </w:rPr>
        <w:t>”</w:t>
      </w:r>
      <w:r>
        <w:rPr>
          <w:rFonts w:hint="eastAsia"/>
          <w:color w:val="auto"/>
        </w:rPr>
        <w:t>的规定</w:t>
      </w:r>
      <w:r>
        <w:rPr>
          <w:color w:val="auto"/>
        </w:rPr>
        <w:t>。</w:t>
      </w:r>
    </w:p>
    <w:p w14:paraId="56EFC9DD">
      <w:pPr>
        <w:pStyle w:val="3"/>
        <w:keepNext w:val="0"/>
        <w:keepLines w:val="0"/>
        <w:pageBreakBefore w:val="0"/>
        <w:numPr>
          <w:ilvl w:val="0"/>
          <w:numId w:val="1"/>
        </w:numPr>
        <w:kinsoku/>
        <w:wordWrap/>
        <w:overflowPunct/>
        <w:topLinePunct w:val="0"/>
        <w:autoSpaceDE/>
        <w:autoSpaceDN/>
        <w:bidi w:val="0"/>
        <w:spacing w:line="580" w:lineRule="exact"/>
        <w:ind w:firstLine="643"/>
        <w:textAlignment w:val="auto"/>
        <w:rPr>
          <w:b/>
          <w:bCs/>
          <w:color w:val="auto"/>
        </w:rPr>
      </w:pPr>
      <w:r>
        <w:rPr>
          <w:b/>
          <w:bCs/>
          <w:color w:val="auto"/>
        </w:rPr>
        <w:t>相关建议</w:t>
      </w:r>
    </w:p>
    <w:p w14:paraId="4A55468C">
      <w:pPr>
        <w:keepNext w:val="0"/>
        <w:keepLines w:val="0"/>
        <w:pageBreakBefore w:val="0"/>
        <w:kinsoku/>
        <w:wordWrap/>
        <w:overflowPunct/>
        <w:topLinePunct w:val="0"/>
        <w:autoSpaceDE/>
        <w:autoSpaceDN/>
        <w:bidi w:val="0"/>
        <w:spacing w:line="580" w:lineRule="exact"/>
        <w:ind w:left="320" w:leftChars="100" w:firstLine="321" w:firstLineChars="100"/>
        <w:textAlignment w:val="auto"/>
        <w:outlineLvl w:val="2"/>
        <w:rPr>
          <w:rFonts w:hint="eastAsia" w:eastAsia="仿宋_GB2312"/>
          <w:b/>
          <w:bCs/>
          <w:color w:val="auto"/>
          <w:szCs w:val="32"/>
          <w:lang w:eastAsia="zh-CN"/>
        </w:rPr>
      </w:pPr>
      <w:r>
        <w:rPr>
          <w:b/>
          <w:bCs/>
          <w:color w:val="auto"/>
          <w:szCs w:val="32"/>
        </w:rPr>
        <w:t>1.</w:t>
      </w:r>
      <w:r>
        <w:rPr>
          <w:rFonts w:hint="eastAsia"/>
          <w:b/>
          <w:bCs/>
          <w:color w:val="auto"/>
          <w:szCs w:val="32"/>
          <w:lang w:eastAsia="zh-CN"/>
        </w:rPr>
        <w:t>分析项目闲置原因，积极寻求解决办法</w:t>
      </w:r>
    </w:p>
    <w:p w14:paraId="0DDF54E9">
      <w:pPr>
        <w:keepNext w:val="0"/>
        <w:keepLines w:val="0"/>
        <w:pageBreakBefore w:val="0"/>
        <w:kinsoku/>
        <w:wordWrap/>
        <w:overflowPunct/>
        <w:topLinePunct w:val="0"/>
        <w:autoSpaceDE/>
        <w:autoSpaceDN/>
        <w:bidi w:val="0"/>
        <w:spacing w:line="580" w:lineRule="exact"/>
        <w:ind w:firstLine="640"/>
        <w:textAlignment w:val="auto"/>
        <w:rPr>
          <w:color w:val="auto"/>
          <w:szCs w:val="32"/>
        </w:rPr>
      </w:pPr>
      <w:r>
        <w:rPr>
          <w:color w:val="auto"/>
          <w:szCs w:val="32"/>
        </w:rPr>
        <w:t>建议项目单位</w:t>
      </w:r>
      <w:r>
        <w:rPr>
          <w:rFonts w:hint="eastAsia"/>
          <w:color w:val="auto"/>
          <w:szCs w:val="32"/>
          <w:lang w:eastAsia="zh-CN"/>
        </w:rPr>
        <w:t>分析建设项目闲置原因，积极与上级单位沟通，寻求解决办法，早日启用闲置的改造项目，充分发挥其使用价值，为广大师生提供便利，避免闲置浪费</w:t>
      </w:r>
      <w:r>
        <w:rPr>
          <w:rFonts w:hint="eastAsia"/>
          <w:color w:val="auto"/>
          <w:szCs w:val="32"/>
        </w:rPr>
        <w:t>。</w:t>
      </w:r>
    </w:p>
    <w:p w14:paraId="6E406742">
      <w:pPr>
        <w:keepNext w:val="0"/>
        <w:keepLines w:val="0"/>
        <w:pageBreakBefore w:val="0"/>
        <w:kinsoku/>
        <w:wordWrap/>
        <w:overflowPunct/>
        <w:topLinePunct w:val="0"/>
        <w:autoSpaceDE/>
        <w:autoSpaceDN/>
        <w:bidi w:val="0"/>
        <w:spacing w:line="580" w:lineRule="exact"/>
        <w:ind w:firstLine="643"/>
        <w:textAlignment w:val="auto"/>
        <w:outlineLvl w:val="2"/>
        <w:rPr>
          <w:b/>
          <w:bCs/>
          <w:color w:val="auto"/>
          <w:szCs w:val="32"/>
        </w:rPr>
      </w:pPr>
      <w:r>
        <w:rPr>
          <w:rFonts w:hint="eastAsia"/>
          <w:b/>
          <w:bCs/>
          <w:color w:val="auto"/>
          <w:szCs w:val="32"/>
          <w:lang w:val="en-US" w:eastAsia="zh-CN"/>
        </w:rPr>
        <w:t>2</w:t>
      </w:r>
      <w:r>
        <w:rPr>
          <w:rFonts w:hint="eastAsia"/>
          <w:b/>
          <w:bCs/>
          <w:color w:val="auto"/>
          <w:szCs w:val="32"/>
        </w:rPr>
        <w:t>.</w:t>
      </w:r>
      <w:r>
        <w:rPr>
          <w:rFonts w:hint="eastAsia"/>
          <w:b/>
          <w:bCs/>
          <w:color w:val="auto"/>
          <w:szCs w:val="32"/>
          <w:lang w:val="en-US" w:eastAsia="zh-CN"/>
        </w:rPr>
        <w:t>加强项目过程管理，</w:t>
      </w:r>
      <w:r>
        <w:rPr>
          <w:rFonts w:hint="eastAsia"/>
          <w:b/>
          <w:bCs/>
          <w:color w:val="auto"/>
          <w:szCs w:val="32"/>
        </w:rPr>
        <w:t>严控项目</w:t>
      </w:r>
      <w:r>
        <w:rPr>
          <w:rFonts w:hint="eastAsia"/>
          <w:b/>
          <w:bCs/>
          <w:color w:val="auto"/>
          <w:szCs w:val="32"/>
          <w:lang w:eastAsia="zh-CN"/>
        </w:rPr>
        <w:t>总</w:t>
      </w:r>
      <w:r>
        <w:rPr>
          <w:rFonts w:hint="eastAsia"/>
          <w:b/>
          <w:bCs/>
          <w:color w:val="auto"/>
          <w:szCs w:val="32"/>
        </w:rPr>
        <w:t>投资</w:t>
      </w:r>
    </w:p>
    <w:p w14:paraId="7CBAE0E6">
      <w:pPr>
        <w:keepNext w:val="0"/>
        <w:keepLines w:val="0"/>
        <w:pageBreakBefore w:val="0"/>
        <w:kinsoku/>
        <w:wordWrap/>
        <w:overflowPunct/>
        <w:topLinePunct w:val="0"/>
        <w:autoSpaceDE/>
        <w:autoSpaceDN/>
        <w:bidi w:val="0"/>
        <w:spacing w:line="580" w:lineRule="exact"/>
        <w:textAlignment w:val="auto"/>
        <w:outlineLvl w:val="9"/>
        <w:rPr>
          <w:color w:val="auto"/>
          <w:szCs w:val="32"/>
        </w:rPr>
      </w:pPr>
      <w:r>
        <w:rPr>
          <w:rFonts w:hint="eastAsia"/>
          <w:bCs/>
          <w:color w:val="auto"/>
          <w:szCs w:val="32"/>
          <w:lang w:eastAsia="zh-CN"/>
        </w:rPr>
        <w:t>严格按照批复的建设内容实施建设工作</w:t>
      </w:r>
      <w:r>
        <w:rPr>
          <w:bCs/>
          <w:color w:val="auto"/>
          <w:szCs w:val="32"/>
        </w:rPr>
        <w:t>，</w:t>
      </w:r>
      <w:r>
        <w:rPr>
          <w:rFonts w:hint="eastAsia"/>
          <w:bCs/>
          <w:color w:val="auto"/>
          <w:szCs w:val="32"/>
        </w:rPr>
        <w:t>加强</w:t>
      </w:r>
      <w:r>
        <w:rPr>
          <w:rFonts w:hint="eastAsia"/>
          <w:bCs/>
          <w:color w:val="auto"/>
          <w:szCs w:val="32"/>
          <w:lang w:eastAsia="zh-CN"/>
        </w:rPr>
        <w:t>对工程量和材料取价的审核，严控变更签证，</w:t>
      </w:r>
      <w:r>
        <w:rPr>
          <w:bCs/>
          <w:color w:val="auto"/>
          <w:szCs w:val="32"/>
        </w:rPr>
        <w:t>确保项目</w:t>
      </w:r>
      <w:r>
        <w:rPr>
          <w:rFonts w:hint="eastAsia"/>
          <w:bCs/>
          <w:color w:val="auto"/>
          <w:szCs w:val="32"/>
          <w:lang w:eastAsia="zh-CN"/>
        </w:rPr>
        <w:t>投资不超过批复</w:t>
      </w:r>
      <w:r>
        <w:rPr>
          <w:color w:val="auto"/>
          <w:szCs w:val="32"/>
        </w:rPr>
        <w:t>。</w:t>
      </w:r>
    </w:p>
    <w:p w14:paraId="552E0A7F">
      <w:pPr>
        <w:keepNext w:val="0"/>
        <w:keepLines w:val="0"/>
        <w:pageBreakBefore w:val="0"/>
        <w:kinsoku/>
        <w:wordWrap/>
        <w:overflowPunct/>
        <w:topLinePunct w:val="0"/>
        <w:autoSpaceDE/>
        <w:autoSpaceDN/>
        <w:bidi w:val="0"/>
        <w:spacing w:line="580" w:lineRule="exact"/>
        <w:ind w:left="320" w:leftChars="100" w:firstLine="321" w:firstLineChars="100"/>
        <w:textAlignment w:val="auto"/>
        <w:outlineLvl w:val="2"/>
        <w:rPr>
          <w:b/>
          <w:bCs/>
          <w:color w:val="auto"/>
          <w:szCs w:val="32"/>
        </w:rPr>
      </w:pPr>
      <w:r>
        <w:rPr>
          <w:rFonts w:hint="eastAsia"/>
          <w:b/>
          <w:bCs/>
          <w:color w:val="auto"/>
          <w:szCs w:val="32"/>
          <w:lang w:val="en-US" w:eastAsia="zh-CN"/>
        </w:rPr>
        <w:t>3</w:t>
      </w:r>
      <w:r>
        <w:rPr>
          <w:b/>
          <w:bCs/>
          <w:color w:val="auto"/>
          <w:szCs w:val="32"/>
        </w:rPr>
        <w:t>.规范制度执行</w:t>
      </w:r>
      <w:r>
        <w:rPr>
          <w:rFonts w:hint="eastAsia"/>
          <w:b/>
          <w:bCs/>
          <w:color w:val="auto"/>
          <w:szCs w:val="32"/>
        </w:rPr>
        <w:t>，严格执行国家标准</w:t>
      </w:r>
    </w:p>
    <w:p w14:paraId="092FD083">
      <w:pPr>
        <w:keepNext w:val="0"/>
        <w:keepLines w:val="0"/>
        <w:pageBreakBefore w:val="0"/>
        <w:kinsoku/>
        <w:wordWrap/>
        <w:overflowPunct/>
        <w:topLinePunct w:val="0"/>
        <w:autoSpaceDE/>
        <w:autoSpaceDN/>
        <w:bidi w:val="0"/>
        <w:spacing w:line="580" w:lineRule="exact"/>
        <w:ind w:firstLine="640"/>
        <w:textAlignment w:val="auto"/>
        <w:rPr>
          <w:rFonts w:hint="eastAsia" w:eastAsia="仿宋_GB2312"/>
          <w:color w:val="auto"/>
          <w:lang w:eastAsia="zh-CN"/>
        </w:rPr>
      </w:pPr>
      <w:r>
        <w:rPr>
          <w:color w:val="auto"/>
          <w:szCs w:val="32"/>
        </w:rPr>
        <w:t>建议项目实施单位</w:t>
      </w:r>
      <w:r>
        <w:rPr>
          <w:bCs/>
          <w:color w:val="auto"/>
          <w:szCs w:val="32"/>
        </w:rPr>
        <w:t>加强</w:t>
      </w:r>
      <w:r>
        <w:rPr>
          <w:rFonts w:hint="eastAsia"/>
          <w:bCs/>
          <w:color w:val="auto"/>
          <w:szCs w:val="32"/>
          <w:lang w:eastAsia="zh-CN"/>
        </w:rPr>
        <w:t>对法律法规、</w:t>
      </w:r>
      <w:r>
        <w:rPr>
          <w:bCs/>
          <w:color w:val="auto"/>
          <w:szCs w:val="32"/>
        </w:rPr>
        <w:t>政府相关制度的学习，</w:t>
      </w:r>
      <w:r>
        <w:rPr>
          <w:rFonts w:hint="eastAsia"/>
          <w:bCs/>
          <w:color w:val="auto"/>
          <w:szCs w:val="32"/>
          <w:lang w:eastAsia="zh-CN"/>
        </w:rPr>
        <w:t>与施工方签订补充协议，</w:t>
      </w:r>
      <w:r>
        <w:rPr>
          <w:rFonts w:hint="eastAsia"/>
          <w:lang w:val="en-US" w:eastAsia="zh-CN"/>
        </w:rPr>
        <w:t>按照法律</w:t>
      </w:r>
      <w:r>
        <w:rPr>
          <w:rFonts w:hint="eastAsia"/>
          <w:bCs/>
          <w:color w:val="auto"/>
          <w:szCs w:val="32"/>
          <w:lang w:eastAsia="zh-CN"/>
        </w:rPr>
        <w:t>法规</w:t>
      </w:r>
      <w:r>
        <w:rPr>
          <w:rFonts w:hint="eastAsia"/>
          <w:lang w:val="en-US" w:eastAsia="zh-CN"/>
        </w:rPr>
        <w:t>规定，修改</w:t>
      </w:r>
      <w:r>
        <w:rPr>
          <w:rFonts w:hint="eastAsia"/>
          <w:bCs/>
          <w:color w:val="auto"/>
          <w:szCs w:val="32"/>
          <w:lang w:eastAsia="zh-CN"/>
        </w:rPr>
        <w:t>工程质保期等</w:t>
      </w:r>
      <w:r>
        <w:rPr>
          <w:rFonts w:hint="eastAsia"/>
          <w:lang w:val="en-US" w:eastAsia="zh-CN"/>
        </w:rPr>
        <w:t>相关条款，维护单位利益</w:t>
      </w:r>
      <w:r>
        <w:rPr>
          <w:rFonts w:hint="eastAsia"/>
          <w:bCs/>
          <w:color w:val="auto"/>
          <w:szCs w:val="32"/>
        </w:rPr>
        <w:t>。</w:t>
      </w:r>
    </w:p>
    <w:p w14:paraId="720B17B0">
      <w:pPr>
        <w:keepNext w:val="0"/>
        <w:keepLines w:val="0"/>
        <w:pageBreakBefore w:val="0"/>
        <w:kinsoku/>
        <w:wordWrap/>
        <w:overflowPunct/>
        <w:topLinePunct w:val="0"/>
        <w:autoSpaceDE/>
        <w:autoSpaceDN/>
        <w:bidi w:val="0"/>
        <w:spacing w:line="580" w:lineRule="exact"/>
        <w:ind w:firstLine="643"/>
        <w:textAlignment w:val="auto"/>
        <w:outlineLvl w:val="2"/>
        <w:rPr>
          <w:rFonts w:hint="eastAsia" w:eastAsia="仿宋_GB2312"/>
          <w:b/>
          <w:bCs/>
          <w:color w:val="auto"/>
          <w:szCs w:val="32"/>
          <w:lang w:eastAsia="zh-CN"/>
        </w:rPr>
      </w:pPr>
      <w:r>
        <w:rPr>
          <w:rFonts w:hint="eastAsia"/>
          <w:b/>
          <w:bCs/>
          <w:color w:val="auto"/>
          <w:szCs w:val="32"/>
          <w:lang w:val="en-US" w:eastAsia="zh-CN"/>
        </w:rPr>
        <w:t>4</w:t>
      </w:r>
      <w:r>
        <w:rPr>
          <w:b/>
          <w:bCs/>
          <w:color w:val="auto"/>
          <w:szCs w:val="32"/>
        </w:rPr>
        <w:t>.</w:t>
      </w:r>
      <w:r>
        <w:rPr>
          <w:rFonts w:hint="eastAsia"/>
          <w:b/>
          <w:bCs/>
          <w:color w:val="auto"/>
          <w:szCs w:val="32"/>
          <w:lang w:eastAsia="zh-CN"/>
        </w:rPr>
        <w:t>强化资金支付审核</w:t>
      </w:r>
      <w:r>
        <w:rPr>
          <w:b/>
          <w:bCs/>
          <w:color w:val="auto"/>
          <w:szCs w:val="32"/>
        </w:rPr>
        <w:t>，</w:t>
      </w:r>
      <w:r>
        <w:rPr>
          <w:rFonts w:hint="eastAsia"/>
          <w:b/>
          <w:bCs/>
          <w:color w:val="auto"/>
          <w:szCs w:val="32"/>
          <w:lang w:eastAsia="zh-CN"/>
        </w:rPr>
        <w:t>确保流程合法合规</w:t>
      </w:r>
    </w:p>
    <w:p w14:paraId="73C6BD55">
      <w:pPr>
        <w:keepNext w:val="0"/>
        <w:keepLines w:val="0"/>
        <w:pageBreakBefore w:val="0"/>
        <w:kinsoku/>
        <w:wordWrap/>
        <w:overflowPunct/>
        <w:topLinePunct w:val="0"/>
        <w:autoSpaceDE/>
        <w:autoSpaceDN/>
        <w:bidi w:val="0"/>
        <w:spacing w:line="580" w:lineRule="exact"/>
        <w:ind w:firstLine="643"/>
        <w:textAlignment w:val="auto"/>
        <w:outlineLvl w:val="2"/>
        <w:rPr>
          <w:rFonts w:hint="eastAsia"/>
          <w:b w:val="0"/>
          <w:bCs w:val="0"/>
          <w:color w:val="auto"/>
          <w:szCs w:val="32"/>
          <w:lang w:val="en-US" w:eastAsia="zh-CN"/>
        </w:rPr>
      </w:pPr>
      <w:r>
        <w:rPr>
          <w:rFonts w:hint="eastAsia"/>
          <w:b w:val="0"/>
          <w:bCs w:val="0"/>
          <w:color w:val="auto"/>
          <w:szCs w:val="32"/>
          <w:lang w:val="en-US" w:eastAsia="zh-CN"/>
        </w:rPr>
        <w:t>建议严格按照规定履行大额资金支出“三重一大”决策程序，提高决策水平，防范决策风险。确保大额资金支付流程合法合规。</w:t>
      </w:r>
    </w:p>
    <w:p w14:paraId="503B05E3">
      <w:pPr>
        <w:keepNext w:val="0"/>
        <w:keepLines w:val="0"/>
        <w:pageBreakBefore w:val="0"/>
        <w:kinsoku/>
        <w:wordWrap/>
        <w:overflowPunct/>
        <w:topLinePunct w:val="0"/>
        <w:autoSpaceDE/>
        <w:autoSpaceDN/>
        <w:bidi w:val="0"/>
        <w:spacing w:line="580" w:lineRule="exact"/>
        <w:ind w:firstLine="640"/>
        <w:textAlignment w:val="auto"/>
        <w:rPr>
          <w:rFonts w:hint="eastAsia"/>
          <w:color w:val="0000FF"/>
          <w:szCs w:val="32"/>
          <w:lang w:eastAsia="zh-CN"/>
        </w:rPr>
      </w:pPr>
    </w:p>
    <w:p w14:paraId="1EC24FF2">
      <w:pPr>
        <w:spacing w:line="600" w:lineRule="exact"/>
        <w:ind w:firstLine="640" w:firstLineChars="200"/>
        <w:outlineLvl w:val="0"/>
        <w:rPr>
          <w:rFonts w:hint="eastAsia" w:ascii="仿宋_GB2312" w:hAnsi="仿宋" w:eastAsia="仿宋_GB2312" w:cs="仿宋"/>
          <w:sz w:val="32"/>
          <w:szCs w:val="32"/>
        </w:rPr>
      </w:pPr>
      <w:bookmarkStart w:id="123" w:name="_Toc13185"/>
      <w:bookmarkStart w:id="124" w:name="_Toc3060"/>
      <w:bookmarkStart w:id="127" w:name="_GoBack"/>
      <w:bookmarkEnd w:id="127"/>
      <w:r>
        <w:rPr>
          <w:rFonts w:hint="eastAsia" w:ascii="仿宋_GB2312" w:hAnsi="仿宋" w:eastAsia="仿宋_GB2312" w:cs="仿宋"/>
          <w:sz w:val="32"/>
          <w:szCs w:val="32"/>
        </w:rPr>
        <w:t>附件：义马市外国语小学南教学楼改造项目综合评分表</w:t>
      </w:r>
      <w:bookmarkEnd w:id="123"/>
      <w:bookmarkEnd w:id="124"/>
    </w:p>
    <w:p w14:paraId="639927E6">
      <w:pPr>
        <w:pStyle w:val="14"/>
      </w:pPr>
    </w:p>
    <w:p w14:paraId="738EC7B6"/>
    <w:p w14:paraId="587FF6C3"/>
    <w:p w14:paraId="5FCBFFBE"/>
    <w:p w14:paraId="4F8F29D9"/>
    <w:p w14:paraId="0541E268"/>
    <w:p w14:paraId="79190F86">
      <w:pPr>
        <w:spacing w:line="560" w:lineRule="exact"/>
        <w:ind w:firstLine="0" w:firstLineChars="0"/>
        <w:outlineLvl w:val="9"/>
        <w:rPr>
          <w:rFonts w:eastAsia="仿宋"/>
          <w:b/>
          <w:bCs/>
          <w:szCs w:val="32"/>
        </w:rPr>
      </w:pPr>
      <w:r>
        <w:rPr>
          <w:rFonts w:eastAsia="仿宋"/>
          <w:b/>
          <w:bCs/>
          <w:szCs w:val="32"/>
        </w:rPr>
        <w:t xml:space="preserve">河南光大会计师事务所有限公司     </w:t>
      </w:r>
      <w:r>
        <w:rPr>
          <w:rFonts w:hint="eastAsia" w:eastAsia="仿宋"/>
          <w:b/>
          <w:bCs/>
          <w:szCs w:val="32"/>
          <w:lang w:val="en-US" w:eastAsia="zh-CN"/>
        </w:rPr>
        <w:t xml:space="preserve"> </w:t>
      </w:r>
      <w:r>
        <w:rPr>
          <w:rFonts w:eastAsia="仿宋"/>
          <w:b/>
          <w:bCs/>
          <w:szCs w:val="32"/>
        </w:rPr>
        <w:t>中国注册会计师：</w:t>
      </w:r>
    </w:p>
    <w:p w14:paraId="4531CBB3">
      <w:pPr>
        <w:spacing w:line="560" w:lineRule="exact"/>
        <w:ind w:firstLine="964" w:firstLineChars="300"/>
        <w:outlineLvl w:val="9"/>
        <w:rPr>
          <w:rFonts w:eastAsia="仿宋"/>
          <w:b/>
          <w:bCs/>
          <w:szCs w:val="32"/>
        </w:rPr>
      </w:pPr>
      <w:r>
        <w:rPr>
          <w:rFonts w:eastAsia="仿宋"/>
          <w:b/>
          <w:bCs/>
          <w:szCs w:val="32"/>
        </w:rPr>
        <w:t xml:space="preserve">  </w:t>
      </w:r>
    </w:p>
    <w:p w14:paraId="3FF7FDE4">
      <w:pPr>
        <w:spacing w:line="560" w:lineRule="exact"/>
        <w:ind w:firstLine="321" w:firstLineChars="100"/>
        <w:outlineLvl w:val="9"/>
        <w:rPr>
          <w:rFonts w:eastAsia="仿宋"/>
          <w:b/>
          <w:bCs/>
          <w:szCs w:val="32"/>
        </w:rPr>
      </w:pPr>
      <w:r>
        <w:rPr>
          <w:rFonts w:eastAsia="仿宋"/>
          <w:b/>
          <w:bCs/>
          <w:szCs w:val="32"/>
        </w:rPr>
        <w:t xml:space="preserve">      中国·郑州                 中国注册会计师：</w:t>
      </w:r>
    </w:p>
    <w:p w14:paraId="23A16C05">
      <w:pPr>
        <w:spacing w:line="560" w:lineRule="exact"/>
        <w:ind w:left="3120" w:right="320" w:firstLine="640" w:firstLineChars="0"/>
        <w:jc w:val="right"/>
        <w:outlineLvl w:val="9"/>
        <w:rPr>
          <w:rFonts w:eastAsia="仿宋"/>
          <w:bCs/>
          <w:szCs w:val="32"/>
        </w:rPr>
      </w:pPr>
    </w:p>
    <w:p w14:paraId="6775E3CB">
      <w:pPr>
        <w:spacing w:line="560" w:lineRule="exact"/>
        <w:ind w:firstLine="5461" w:firstLineChars="1700"/>
        <w:jc w:val="left"/>
        <w:outlineLvl w:val="9"/>
        <w:rPr>
          <w:rFonts w:eastAsia="仿宋"/>
          <w:b/>
          <w:bCs/>
          <w:szCs w:val="32"/>
        </w:rPr>
      </w:pPr>
      <w:r>
        <w:rPr>
          <w:rFonts w:hint="eastAsia" w:eastAsia="仿宋"/>
          <w:b/>
          <w:bCs/>
          <w:szCs w:val="32"/>
          <w:lang w:val="en-US" w:eastAsia="zh-CN"/>
        </w:rPr>
        <w:t>2024</w:t>
      </w:r>
      <w:r>
        <w:rPr>
          <w:rFonts w:eastAsia="仿宋"/>
          <w:b/>
          <w:bCs/>
          <w:szCs w:val="32"/>
        </w:rPr>
        <w:t>年</w:t>
      </w:r>
      <w:r>
        <w:rPr>
          <w:rFonts w:hint="eastAsia" w:eastAsia="仿宋"/>
          <w:b/>
          <w:bCs/>
          <w:szCs w:val="32"/>
          <w:lang w:val="en-US" w:eastAsia="zh-CN"/>
        </w:rPr>
        <w:t>11</w:t>
      </w:r>
      <w:r>
        <w:rPr>
          <w:rFonts w:eastAsia="仿宋"/>
          <w:b/>
          <w:bCs/>
          <w:szCs w:val="32"/>
        </w:rPr>
        <w:t>月</w:t>
      </w:r>
      <w:r>
        <w:rPr>
          <w:rFonts w:hint="eastAsia" w:eastAsia="仿宋"/>
          <w:b/>
          <w:bCs/>
          <w:szCs w:val="32"/>
          <w:lang w:val="en-US" w:eastAsia="zh-CN"/>
        </w:rPr>
        <w:t>20</w:t>
      </w:r>
      <w:r>
        <w:rPr>
          <w:rFonts w:eastAsia="仿宋"/>
          <w:b/>
          <w:bCs/>
          <w:szCs w:val="32"/>
        </w:rPr>
        <w:t>日</w:t>
      </w:r>
    </w:p>
    <w:p w14:paraId="1130EABF">
      <w:pPr>
        <w:spacing w:line="560" w:lineRule="exact"/>
        <w:ind w:firstLine="0" w:firstLineChars="0"/>
        <w:jc w:val="right"/>
        <w:outlineLvl w:val="9"/>
        <w:rPr>
          <w:rFonts w:eastAsia="仿宋"/>
          <w:b/>
          <w:bCs/>
          <w:szCs w:val="32"/>
        </w:rPr>
        <w:sectPr>
          <w:footerReference r:id="rId17" w:type="default"/>
          <w:pgSz w:w="11906" w:h="16838"/>
          <w:pgMar w:top="1440" w:right="1800" w:bottom="1440" w:left="1800" w:header="851" w:footer="964" w:gutter="0"/>
          <w:pgNumType w:fmt="decimal" w:start="1"/>
          <w:cols w:space="720" w:num="1"/>
          <w:docGrid w:type="lines" w:linePitch="312" w:charSpace="0"/>
        </w:sectPr>
      </w:pPr>
    </w:p>
    <w:p w14:paraId="5D3EABFB">
      <w:pPr>
        <w:spacing w:line="560" w:lineRule="exact"/>
        <w:ind w:left="0" w:leftChars="0" w:firstLine="0" w:firstLineChars="0"/>
        <w:rPr>
          <w:rFonts w:hint="eastAsia" w:ascii="宋体" w:hAnsi="宋体" w:eastAsia="宋体" w:cs="宋体"/>
          <w:b/>
          <w:bCs/>
          <w:sz w:val="28"/>
          <w:szCs w:val="28"/>
        </w:rPr>
      </w:pPr>
      <w:r>
        <w:rPr>
          <w:rFonts w:hint="eastAsia" w:ascii="宋体" w:hAnsi="宋体" w:eastAsia="宋体" w:cs="宋体"/>
          <w:b/>
          <w:bCs/>
          <w:sz w:val="28"/>
          <w:szCs w:val="28"/>
        </w:rPr>
        <w:t>附件：</w:t>
      </w:r>
    </w:p>
    <w:p w14:paraId="455B8293">
      <w:pPr>
        <w:spacing w:line="560" w:lineRule="exact"/>
        <w:ind w:left="0" w:leftChars="0" w:firstLine="0" w:firstLineChars="0"/>
        <w:jc w:val="center"/>
        <w:outlineLvl w:val="0"/>
        <w:rPr>
          <w:rFonts w:hint="eastAsia" w:ascii="宋体" w:hAnsi="宋体" w:eastAsia="宋体" w:cs="宋体"/>
          <w:b/>
          <w:bCs/>
          <w:sz w:val="28"/>
          <w:szCs w:val="28"/>
        </w:rPr>
      </w:pPr>
      <w:bookmarkStart w:id="125" w:name="_Toc28971"/>
      <w:bookmarkStart w:id="126" w:name="_Toc32742"/>
      <w:r>
        <w:rPr>
          <w:rFonts w:hint="eastAsia" w:ascii="宋体" w:hAnsi="宋体" w:eastAsia="宋体" w:cs="宋体"/>
          <w:b/>
          <w:bCs/>
          <w:sz w:val="28"/>
          <w:szCs w:val="28"/>
        </w:rPr>
        <w:t>义马市外国语小学南教学楼改造项目综合评分表</w:t>
      </w:r>
      <w:bookmarkEnd w:id="125"/>
      <w:bookmarkEnd w:id="126"/>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5"/>
        <w:gridCol w:w="528"/>
        <w:gridCol w:w="792"/>
        <w:gridCol w:w="648"/>
        <w:gridCol w:w="888"/>
        <w:gridCol w:w="756"/>
        <w:gridCol w:w="1548"/>
        <w:gridCol w:w="2580"/>
        <w:gridCol w:w="1668"/>
        <w:gridCol w:w="4524"/>
        <w:gridCol w:w="701"/>
      </w:tblGrid>
      <w:tr w14:paraId="314EF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blHeader/>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CD66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Style w:val="28"/>
                <w:rFonts w:hint="eastAsia" w:ascii="宋体" w:hAnsi="宋体" w:eastAsia="宋体" w:cs="宋体"/>
                <w:sz w:val="18"/>
                <w:szCs w:val="18"/>
                <w:lang w:val="en-US" w:eastAsia="zh-CN" w:bidi="ar"/>
              </w:rPr>
            </w:pPr>
            <w:r>
              <w:rPr>
                <w:rStyle w:val="28"/>
                <w:rFonts w:hint="eastAsia" w:ascii="宋体" w:hAnsi="宋体" w:eastAsia="宋体" w:cs="宋体"/>
                <w:sz w:val="18"/>
                <w:szCs w:val="18"/>
                <w:lang w:val="en-US" w:eastAsia="zh-CN" w:bidi="ar"/>
              </w:rPr>
              <w:t>一级</w:t>
            </w:r>
          </w:p>
          <w:p w14:paraId="18CA7D5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指标</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D865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分值</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2A3A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Style w:val="28"/>
                <w:rFonts w:hint="eastAsia" w:ascii="宋体" w:hAnsi="宋体" w:eastAsia="宋体" w:cs="宋体"/>
                <w:sz w:val="18"/>
                <w:szCs w:val="18"/>
                <w:lang w:val="en-US" w:eastAsia="zh-CN" w:bidi="ar"/>
              </w:rPr>
            </w:pPr>
            <w:r>
              <w:rPr>
                <w:rStyle w:val="28"/>
                <w:rFonts w:hint="eastAsia" w:ascii="宋体" w:hAnsi="宋体" w:eastAsia="宋体" w:cs="宋体"/>
                <w:sz w:val="18"/>
                <w:szCs w:val="18"/>
                <w:lang w:val="en-US" w:eastAsia="zh-CN" w:bidi="ar"/>
              </w:rPr>
              <w:t>二级</w:t>
            </w:r>
          </w:p>
          <w:p w14:paraId="1FD272A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指标</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8019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分值</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CE02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Style w:val="28"/>
                <w:rFonts w:hint="eastAsia" w:ascii="宋体" w:hAnsi="宋体" w:eastAsia="宋体" w:cs="宋体"/>
                <w:sz w:val="18"/>
                <w:szCs w:val="18"/>
                <w:lang w:val="en-US" w:eastAsia="zh-CN" w:bidi="ar"/>
              </w:rPr>
            </w:pPr>
            <w:r>
              <w:rPr>
                <w:rStyle w:val="28"/>
                <w:rFonts w:hint="eastAsia" w:ascii="宋体" w:hAnsi="宋体" w:eastAsia="宋体" w:cs="宋体"/>
                <w:sz w:val="18"/>
                <w:szCs w:val="18"/>
                <w:lang w:val="en-US" w:eastAsia="zh-CN" w:bidi="ar"/>
              </w:rPr>
              <w:t>三级</w:t>
            </w:r>
          </w:p>
          <w:p w14:paraId="1C9F9A6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指标</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7E06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分值</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AE97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指标解释</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DBF3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指标说明</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30F3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Style w:val="28"/>
                <w:rFonts w:hint="eastAsia" w:ascii="宋体" w:hAnsi="宋体" w:eastAsia="宋体" w:cs="宋体"/>
                <w:sz w:val="18"/>
                <w:szCs w:val="18"/>
                <w:lang w:val="en-US" w:eastAsia="zh-CN" w:bidi="ar"/>
              </w:rPr>
            </w:pPr>
            <w:r>
              <w:rPr>
                <w:rStyle w:val="28"/>
                <w:rFonts w:hint="eastAsia" w:ascii="宋体" w:hAnsi="宋体" w:eastAsia="宋体" w:cs="宋体"/>
                <w:sz w:val="18"/>
                <w:szCs w:val="18"/>
                <w:lang w:val="en-US" w:eastAsia="zh-CN" w:bidi="ar"/>
              </w:rPr>
              <w:t>评价标准及</w:t>
            </w:r>
          </w:p>
          <w:p w14:paraId="407B8AF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评分规则</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9C1D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评分意见</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4A2A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Style w:val="28"/>
                <w:rFonts w:hint="eastAsia" w:ascii="宋体" w:hAnsi="宋体" w:eastAsia="宋体" w:cs="宋体"/>
                <w:sz w:val="18"/>
                <w:szCs w:val="18"/>
                <w:lang w:val="en-US" w:eastAsia="zh-CN" w:bidi="ar"/>
              </w:rPr>
            </w:pPr>
            <w:r>
              <w:rPr>
                <w:rStyle w:val="28"/>
                <w:rFonts w:hint="eastAsia" w:ascii="宋体" w:hAnsi="宋体" w:eastAsia="宋体" w:cs="宋体"/>
                <w:sz w:val="18"/>
                <w:szCs w:val="18"/>
                <w:lang w:val="en-US" w:eastAsia="zh-CN" w:bidi="ar"/>
              </w:rPr>
              <w:t>评价</w:t>
            </w:r>
          </w:p>
          <w:p w14:paraId="3BC6B09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得分</w:t>
            </w:r>
          </w:p>
        </w:tc>
      </w:tr>
      <w:tr w14:paraId="2207A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60" w:hRule="atLeast"/>
        </w:trPr>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4B56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A决策</w:t>
            </w:r>
          </w:p>
        </w:tc>
        <w:tc>
          <w:tcPr>
            <w:tcW w:w="17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63A3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01EA9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A1项目立项</w:t>
            </w:r>
          </w:p>
        </w:tc>
        <w:tc>
          <w:tcPr>
            <w:tcW w:w="2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79FA6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EEDE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A11立项依据充分性</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026C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C28C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F680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该项目是否与相关部门同类项目或者部门内部相关项目交叉重复。</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4FDC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具备一个得分要素，得到指标分值的20%。</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80BD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该项目立项符合《义马市国民经济和社会发展第十四个五年规划和二〇三五年远景目标纲要（草案）》“进一步优化义务教育资源配置，加大城区义务教育资源投入力度，加快现有学校扩建扩充，增加学位总量，确保消除大班额现象”的规定；与部门职责范围相符，属于公共财政支持范围，符合地方事权支出责任划分原则，与相关部门同类项目或部门内部相关项目不存在交叉重复。根据评分规则，该指标得满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DA4B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r>
      <w:tr w14:paraId="5CDDE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2"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1813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A837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EFEAE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2F3A3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CE3F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A12立项程序规范性</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2EC3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4DB0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项目的申请、设立过程是否符合相关要求，用以反映和考核项目立项的规范情况。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9A99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①项目是否按照规定的程序申请设立；②审批文件、材料是否符合相关要求；③事前是否已经过必要的可行性研究、专家论证、风险评估、集体决策等。</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9A7B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具备要素①和②之一的，得到指标分值的30%；具备要素③，得到指标分值的40%。</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CC8E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3月，市教体局向市发改委会上报了《义马市外国语小学南教学楼改造项目可行性研究报告》，同月，市发改委以《关于义马市外国语小学南教学楼改造项目可行性研究报告的批复》（义发改〔2022〕59号），批复了该项目。根据评分规则，该指标得满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F3C9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r>
      <w:tr w14:paraId="227CD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048E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B105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99B48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A2绩效目标</w:t>
            </w:r>
          </w:p>
        </w:tc>
        <w:tc>
          <w:tcPr>
            <w:tcW w:w="2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890B1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6A21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A21绩效目标合理性</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DBF0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24FC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项目所设定的绩效目标是否符合实际、切实可行，用以反映和考核项目绩效目标与项目实施的相符情况。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857A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①项目是否有绩效目标；②绩效目标设置是否与项目情况匹配；③项目绩效目标与实际工作内容是否具有相关性，是否完整；④项目预期产出和效果是否符合正常的业绩水平。</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C3DA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具备一个得分要素，得到指标分值的25%。</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7920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根据义马市人民政府网站政务公开公布的《义马市外国语小学南教学楼改造项目绩效目标表》，该项目2023年绩效目标为：因办学需求，需对学校南楼进行整修，申请外小南楼屋顶改造工程项目资金（大型修缮）95.40万元。②但申请资金95.40万元与屋顶改造批复预算金额31.77万元不匹配。③绩效目标仅为屋顶改造工程，与实际工作内容具有相关性，但不完整，实际实施内容包含室内外装修改造及水、电、暖改造，原屋面女儿墙拆除、新建钢结构等。④项目预期产出和效果符合正常的业绩水平。根据评分规则，该指标得分=3*25%*2=1.5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FDEE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w:t>
            </w:r>
          </w:p>
        </w:tc>
      </w:tr>
      <w:tr w14:paraId="4D84E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2"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4432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82A4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92EA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1465C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5BB6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A22绩效指标明确性</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B70C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4908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6493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①是否将项目绩效目标细化分解为具体的绩效指标；②是否通过清晰、可衡量的指标值予以体现；③是否与项目目标任务数或计划数相对应。</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B0B7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具备得分要素①，得到指标分值的40%；具备得分要素②和③，各得到指标分值的30%。</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804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根据义马市人民政府网站政务公开公布的《义马市外国语小学南教学楼改造项目绩效目标表》，该项目设置有成本、产出、效益和满意度4个一级指标，经济成本指标、数量指标、质量指标、时效指标、社会效益、服务对象满意度等6个二级指标，总支出、完成度、经费支出合规性、时效性、改善办学环境、群众满意度等6个三级指标。②产出数量指标目标值设置为完成度：100，产出质量指标目标值设置为经费支出合规性≥98%，指标设置不科学、不合理；产出时效指标目标值设置为时效性：及时，指标不可衡量。③市发改委批复该项目投资估算350.00万元，实际签订的施工、监理、设计等8份合同应结算金额共379.27万元，而经济成本指标目标设置为总支出336.30万元与项目目标任务数不符。根据评分规则，该指标得分2×40%=0.8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F511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w:t>
            </w:r>
          </w:p>
        </w:tc>
      </w:tr>
      <w:tr w14:paraId="734D3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BDFC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F377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146B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A3资金投入</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727F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D5CA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A31预算编制科学性</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94A7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6B44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DFF1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①预算编制是否经过论证；②预算内容与项目实际内容是否匹配；③预算额度测算依据是否充分，是否按标准编制；④预算确定的项目投资额或资金量是否与年度工作任务相匹配。</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90AF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具备一个得分要素，得到指标分值的25%。</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322D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建设工程项目预（结）算审查批复意见书》，该项目预算内容为：对义马市外国语小学南楼及屋顶进行改造，主要包括室内外装修改造及水、电、暖改造，原屋面女儿墙拆除、新建钢结构等工程，项目施工总投资为336.96万元，资金来源由义马财政筹资。2023年，义马市外国语小学年初预算该项目资金仅20.52万元，未按批复标准编制预算、与年度工作任务不匹配</w:t>
            </w:r>
            <w:r>
              <w:rPr>
                <w:rFonts w:hint="eastAsia" w:ascii="宋体" w:hAnsi="宋体" w:eastAsia="宋体" w:cs="宋体"/>
                <w:i w:val="0"/>
                <w:iCs w:val="0"/>
                <w:color w:val="000000"/>
                <w:kern w:val="0"/>
                <w:sz w:val="18"/>
                <w:szCs w:val="18"/>
                <w:highlight w:val="none"/>
                <w:u w:val="none"/>
                <w:lang w:val="en-US" w:eastAsia="zh-CN" w:bidi="ar"/>
              </w:rPr>
              <w:t>。根据评分规则，该指标不得分。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12B4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r>
      <w:tr w14:paraId="62289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B895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B过程</w:t>
            </w:r>
          </w:p>
        </w:tc>
        <w:tc>
          <w:tcPr>
            <w:tcW w:w="17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9F7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B044A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B1组织实施</w:t>
            </w:r>
          </w:p>
        </w:tc>
        <w:tc>
          <w:tcPr>
            <w:tcW w:w="2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F8B56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7356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B11管理制度健全性</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E399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9EF5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项目实施单位的业务管理制度是否健全，用以反映和考核业务管理制度对项目顺利实施的保障情况。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1841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①是否已制定或具有相应的财务和业务管理制度；②财务和业务管理制度是否合法、合规、完整。</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7CCD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048E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义马市外国语小学制定了采购管理办法、财务报销管理办法等，但未见制定业务管理制度。且财务报销管理办法规定“学校实行‘一支笔'审批制度，学校所有的财务支出都必须经校长审批后，方可到财务处办理结算”，与2018年5月市教体局下发的《关于严格执行党政一把手“五不直接分管”进一步加强财务管理工作的通知》规定“建立党政‘一把手'不直接分管、签批财务工作制度。按照‘局长提名、班子研究、副职分管、集体领导'的原则，确定一名班子成员具体负责系统财务工作和局机关财务签批工作”不一致，财务管理制度与上级文件有冲突，未及时修订。根据评分规则，该指标不得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B7D6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r>
      <w:tr w14:paraId="4362C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4"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E168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A2A8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CD67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90E7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7970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B12制度执行有效性</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6A1A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B1B3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项目实施是否符合相关业务管理规定，用以反映和考核业务管理制度的有效执行情况。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60DA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遵守相关法律法规和业务管理规定；②项目调整及支出调整手续是否完备；③项目人员条件、场地设备、信息支撑落实情况，项目合同书、验收报告、技术鉴定等资料是否齐全并及时归档；④项目总投资控制情况，是否超出批复投资金额。</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42C8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具备一个得分要素，得到指标分值的25%。</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7318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根据《建设工程施工合同》约定“免费维修期为1年”，不符合《建设工程质量管理条例》第四十条“在正常使用条件下，建设工程的最低保修期限为：（四）电气管线、给排水管道、设备安装和装修工程，为2年”的规定；②</w:t>
            </w:r>
            <w:r>
              <w:rPr>
                <w:rFonts w:hint="eastAsia" w:ascii="宋体" w:hAnsi="宋体" w:eastAsia="宋体" w:cs="宋体"/>
                <w:i w:val="0"/>
                <w:iCs w:val="0"/>
                <w:color w:val="000000"/>
                <w:kern w:val="0"/>
                <w:sz w:val="18"/>
                <w:szCs w:val="18"/>
                <w:highlight w:val="none"/>
                <w:u w:val="none"/>
                <w:lang w:val="en-US" w:eastAsia="zh-CN" w:bidi="ar"/>
              </w:rPr>
              <w:t>市发改委</w:t>
            </w:r>
            <w:r>
              <w:rPr>
                <w:rFonts w:hint="eastAsia" w:ascii="宋体" w:hAnsi="宋体" w:eastAsia="宋体" w:cs="宋体"/>
                <w:i w:val="0"/>
                <w:iCs w:val="0"/>
                <w:color w:val="000000"/>
                <w:kern w:val="0"/>
                <w:sz w:val="18"/>
                <w:szCs w:val="18"/>
                <w:u w:val="none"/>
                <w:lang w:val="en-US" w:eastAsia="zh-CN" w:bidi="ar"/>
              </w:rPr>
              <w:t>对该项目核准施工采购方式为公开招标，义马市外国语小学实际采取竞争性磋商方式确定施工方，变更采购方式未履行审批手续；③项目人员条件、场地设备、信息支撑能够落实，项目已完工。项目合同、验收报告、结算审核报告、施工日志等资料齐全；④该项目市发改委批复金额350.00万元，实际实施中签订各类合同8个，应结算金额合计379.27万元，超出预算批复金额29.27万元。根据评分规则，该指标得分=5×25%×1=1.25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15B1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1.25</w:t>
            </w:r>
          </w:p>
        </w:tc>
      </w:tr>
      <w:tr w14:paraId="676CB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03A7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159E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D6C6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28FD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EB78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B13项目质量可控性</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3768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05E2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用以反映和考核项目实施单位对项目质量的控制情况。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AF1D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①是否已制定或具有相应的项目质量要求或标准；②是否采取了相应的项目质量检查、验收等必需的控制措施或手段。</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1556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4146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该项目招投标文件中制定有技术标准和要求，在项目实施过程中监理公司对项目进行监理，在项目完工后按照相关标准和要求进行验收，并由第三方出具结算审核报告，根据评分规则，该指标得满分。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148E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r>
      <w:tr w14:paraId="56529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94"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CF45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7FB4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0F3A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B2资金管理</w:t>
            </w:r>
          </w:p>
        </w:tc>
        <w:tc>
          <w:tcPr>
            <w:tcW w:w="2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97F65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6F77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B21资金到位率</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35E1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E8E6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5AB9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资金到位率=（实际到位资金/计划投入资金）×100%。                                                                                                                  实际到位资金：一定时期（本年度或项目期）内实际落实到具体项目的资金。                                                                                        预算资金：一定时期（本年度或项目期）内项目预算安排到具体项目的资金。</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6EC0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资金到位率≤100%，且未对项目开展造成不良影响，得分等于指标分值×资金到位率；资金到位率﹤100%，且对项目开展造成不良影响，得分等于0。</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C258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2022年度，义马市外国语小学计划投入资金336.96万元，实际到位336.96万元；2023年度，义马市外国语小学年初预算该项目资金20.52万元，年中调整后计划投入资金153.00万元，实际到位资金153.00万元，资金到位率100%，根据评分规则，该指标得满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FA28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r>
      <w:tr w14:paraId="31A3E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C180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E594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2396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371C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551C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B22预算执行率</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8114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CFD5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项目预算资金是否按照计划执行，用以反映和考核项目预算执行情况。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6391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项目预算资金是否按照计划执行，用以反映和考核项目预算执行情况。                                                                                                     预算执行率=（实际支出资金/实际到位资金）×100%。                                                                                                         实际支出资金：一定时期（本年度或项目期）内项目实际拨付的资金。</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B53F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得分等于指标分值×预算执行率。</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127E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根据资金到位及支出凭证，2022年度，该项目到位336.96万元，支出</w:t>
            </w:r>
            <w:r>
              <w:rPr>
                <w:rFonts w:hint="eastAsia" w:ascii="宋体" w:hAnsi="宋体" w:eastAsia="宋体" w:cs="宋体"/>
                <w:i w:val="0"/>
                <w:iCs w:val="0"/>
                <w:color w:val="000000"/>
                <w:kern w:val="0"/>
                <w:sz w:val="18"/>
                <w:szCs w:val="18"/>
                <w:highlight w:val="none"/>
                <w:u w:val="none"/>
                <w:lang w:val="en-US" w:eastAsia="zh-CN" w:bidi="ar"/>
              </w:rPr>
              <w:t>资金</w:t>
            </w:r>
            <w:r>
              <w:rPr>
                <w:rFonts w:hint="eastAsia" w:ascii="宋体" w:hAnsi="宋体" w:eastAsia="宋体" w:cs="宋体"/>
                <w:i w:val="0"/>
                <w:iCs w:val="0"/>
                <w:color w:val="000000"/>
                <w:kern w:val="0"/>
                <w:sz w:val="18"/>
                <w:szCs w:val="18"/>
                <w:u w:val="none"/>
                <w:lang w:val="en-US" w:eastAsia="zh-CN" w:bidi="ar"/>
              </w:rPr>
              <w:t>8</w:t>
            </w:r>
            <w:r>
              <w:rPr>
                <w:rFonts w:hint="eastAsia" w:ascii="宋体" w:hAnsi="宋体" w:eastAsia="宋体" w:cs="宋体"/>
                <w:i w:val="0"/>
                <w:iCs w:val="0"/>
                <w:color w:val="000000"/>
                <w:kern w:val="0"/>
                <w:sz w:val="18"/>
                <w:szCs w:val="18"/>
                <w:highlight w:val="none"/>
                <w:u w:val="none"/>
                <w:lang w:val="en-US" w:eastAsia="zh-CN" w:bidi="ar"/>
              </w:rPr>
              <w:t>9.00万元；因合同约定工期至2023年1月16日，工程未完工，未达付款条件，故2022年度资金支出情况不纳入该指标计算。2023年</w:t>
            </w:r>
            <w:r>
              <w:rPr>
                <w:rFonts w:hint="eastAsia" w:ascii="宋体" w:hAnsi="宋体" w:eastAsia="宋体" w:cs="宋体"/>
                <w:i w:val="0"/>
                <w:iCs w:val="0"/>
                <w:color w:val="000000"/>
                <w:kern w:val="0"/>
                <w:sz w:val="18"/>
                <w:szCs w:val="18"/>
                <w:u w:val="none"/>
                <w:lang w:val="en-US" w:eastAsia="zh-CN" w:bidi="ar"/>
              </w:rPr>
              <w:t>度</w:t>
            </w: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eastAsia="宋体" w:cs="宋体"/>
                <w:i w:val="0"/>
                <w:iCs w:val="0"/>
                <w:color w:val="000000"/>
                <w:kern w:val="0"/>
                <w:sz w:val="18"/>
                <w:szCs w:val="18"/>
                <w:u w:val="none"/>
                <w:lang w:val="en-US" w:eastAsia="zh-CN" w:bidi="ar"/>
              </w:rPr>
              <w:t>该项目</w:t>
            </w:r>
            <w:r>
              <w:rPr>
                <w:rFonts w:hint="eastAsia" w:ascii="宋体" w:hAnsi="宋体" w:eastAsia="宋体" w:cs="宋体"/>
                <w:i w:val="0"/>
                <w:iCs w:val="0"/>
                <w:color w:val="000000"/>
                <w:kern w:val="0"/>
                <w:sz w:val="18"/>
                <w:szCs w:val="18"/>
                <w:highlight w:val="none"/>
                <w:u w:val="none"/>
                <w:lang w:val="en-US" w:eastAsia="zh-CN" w:bidi="ar"/>
              </w:rPr>
              <w:t>实际到位资金153.00万元，实际支出153.00万元，预算执行率100%。根据评分规则，该指标得满分</w:t>
            </w:r>
            <w:r>
              <w:rPr>
                <w:rFonts w:hint="eastAsia" w:ascii="宋体" w:hAnsi="宋体" w:eastAsia="宋体" w:cs="宋体"/>
                <w:i w:val="0"/>
                <w:iCs w:val="0"/>
                <w:color w:val="000000"/>
                <w:kern w:val="0"/>
                <w:sz w:val="18"/>
                <w:szCs w:val="18"/>
                <w:u w:val="none"/>
                <w:lang w:val="en-US" w:eastAsia="zh-CN" w:bidi="ar"/>
              </w:rPr>
              <w:t>。</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8411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r>
      <w:tr w14:paraId="0A2F8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B817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386F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6A51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0C81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E504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B23资金使用合规性</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BB7E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70C6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5CE0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符合国家财经法规和财务管理制度以及有关专项资金管理办法的规定；②资金的拨付是否有完整的审批程序和手续；③项目开支是否符合政府采购管理要求；④是否符合项目预算批复或合同规定的用途；⑤是否存在截留、挤占、挪用、虚列支出等情况。</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E58D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每发现一例资金使用不合规的情况，扣除指标分值的20%，扣完为止。</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76B7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该项目未按合同约定付款周期付款。施工合同金额336.30万元，约定付款周期“签订合同进场后，支付至总工程款的20%；工程全部完工后，支付至总工程款的80%；工程竣工结算、质量验收并经审计后，支付至总工程款的97%；剩余3%质保金待一年后无质量问题一次性支付”。实际于2022年9月5日首次支付70.00万元，高于合同约定的20%；该项目完工验收时间为2022年12月9日，2022年12月6日支付施工方19.00万元，不满足第二次进度款支付条件。②大额资金支付未按规定履行“三重一大”集体决策程序，不符合义马市教育体育局《关于规范教体系统财务报销审批程序的通知》（义教体文〔2017〕44号）相关规定；③</w:t>
            </w:r>
            <w:r>
              <w:rPr>
                <w:rFonts w:hint="eastAsia" w:ascii="宋体" w:hAnsi="宋体" w:eastAsia="宋体" w:cs="宋体"/>
                <w:i w:val="0"/>
                <w:iCs w:val="0"/>
                <w:color w:val="000000"/>
                <w:kern w:val="0"/>
                <w:sz w:val="18"/>
                <w:szCs w:val="18"/>
                <w:highlight w:val="none"/>
                <w:u w:val="none"/>
                <w:lang w:val="en-US" w:eastAsia="zh-CN" w:bidi="ar"/>
              </w:rPr>
              <w:t>2023年支付该项目设计、检测、可研编制等费用6.91万元，未在该项目中列支经费，在“2023年城乡义务教育经费保障机制补助资金（公用经费）中央”项目中列支，专项资金使用混乱。根据评分规则，该指标扣5×20%*3=3分，得2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3D19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r>
      <w:tr w14:paraId="62BCB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90" w:hRule="atLeast"/>
        </w:trPr>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56BF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C产出</w:t>
            </w:r>
          </w:p>
        </w:tc>
        <w:tc>
          <w:tcPr>
            <w:tcW w:w="17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A06B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F391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C1产出数量</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E75C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1A25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C11改造教学楼面积完成率</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6A90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E565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8091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改造教学楼面积完成率=（实际完成数/计划完成数）×100%。该项目计划教学楼面积为2885米。</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F019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得分等于指标分值×改造教学楼面积完成率。</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58B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项目计划改造建筑面积2885平方米，实际改造建筑面积2885平方米，改造面积完成率=（2885/2885）×100%=100%，根据评分规则，该指标得满分。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9BD6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r>
      <w:tr w14:paraId="76BA4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7060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1E64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1E34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C2产出时效</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9D58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93D9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C21工程完工及时率</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9E8D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0942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项目实际提前完成时间与计划完成时间的比率，用以反映和考核项目产出时效目标的实现程度。</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5B45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按照合同约定完工时间完工，该项目计划开工时间为2022年7月21日，计划竣工时间为2023年1月16日。</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C35D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每推迟1个月扣除指标分值的10%，扣完为止。</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6B8E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根据义马市外国语小学南教学楼改造项目开工报告、完工报告，该项目合同开工、竣工日期分别为2022年7月21日、2023年1月16日，实际开工、竣工时间为2022年7月15日、2022年12月9日。根据评分规则，该指标得满分。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70B4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r>
      <w:tr w14:paraId="52135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7537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54A1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B3A6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C3产出质量</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1187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BC42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C31项目验收合格率</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6FE0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2267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项目完成的质量达标产出，用以反映和考核项目产出质量目标的实现程度。</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51FE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项目经相关单位验收并验收合格。</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1265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经相关部门验收并验收合格的满分，否则不得分。</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ED81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color w:val="000000"/>
                <w:kern w:val="0"/>
                <w:sz w:val="18"/>
                <w:szCs w:val="18"/>
                <w:u w:val="none"/>
                <w:lang w:eastAsia="zh-CN" w:bidi="ar"/>
              </w:rPr>
              <w:t>该项目</w:t>
            </w:r>
            <w:r>
              <w:rPr>
                <w:rFonts w:hint="eastAsia" w:ascii="宋体" w:hAnsi="宋体" w:eastAsia="宋体" w:cs="宋体"/>
                <w:color w:val="000000"/>
                <w:kern w:val="0"/>
                <w:sz w:val="18"/>
                <w:szCs w:val="18"/>
                <w:u w:val="none"/>
                <w:lang w:bidi="ar"/>
              </w:rPr>
              <w:t>竣工验收报告由建设单位、监理单位、设计单位、施工单位共同签署，验收合格</w:t>
            </w:r>
            <w:r>
              <w:rPr>
                <w:rFonts w:hint="eastAsia" w:ascii="宋体" w:hAnsi="宋体" w:eastAsia="宋体" w:cs="宋体"/>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根据评分规则，该指标得满分。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B958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r>
      <w:tr w14:paraId="39420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189B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D效益</w:t>
            </w:r>
          </w:p>
        </w:tc>
        <w:tc>
          <w:tcPr>
            <w:tcW w:w="1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EF2C5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9988E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D1社会效益</w:t>
            </w:r>
          </w:p>
        </w:tc>
        <w:tc>
          <w:tcPr>
            <w:tcW w:w="2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CB5CC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B921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D11学校发展需要</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70EA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5B35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项目实施对学校发展影响情况。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5C1B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①是否消除安全隐患；②是否提升了学校整体形象。</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3ED3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17D8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义马市外国语小学南教学楼始建于1993年，近十多年一直停用，屋顶年久失修，严重漏水，导致内外墙皮脱落、地面鼓包，且存在一定安全隐患。通过改造，消除了安全隐患，确保学校师生人身安全，同时提升了义马市外国语小学整体形象。根据评分规则，该指标得满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66F6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r>
      <w:tr w14:paraId="11AC9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7B20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B139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2FBF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2104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FFA4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D12改善教学条件</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71BE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3E8B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项目实施对改善教学条件带来的直接或间接影响。</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FDA2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①是否缓解教室紧张；②是否改善教学条件。</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3E53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0853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该项目2022年12月9日竣工验收，2023年8月31日出具竣工结算审核报告。南教学楼使用一学期后自2024年9月配餐使用的大厅及配套的餐桌椅、午休室等停用，至绩效评价日仍处于闲置状态。未达到缓解教室紧张、改善教学条件的目的。根据评分规则，该指标不得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4381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r>
      <w:tr w14:paraId="348B2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ED30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EDFA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83C54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E2BA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331F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D13为学校师生带来便利</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685E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AF66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项目实施对师生课外活动带来的直接或间接影响。</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9171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①项目是否为学生提供延时及就餐服务；②项目实施是否丰富了师生课外活动。</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BD8F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50F2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该项目2022年12月9日竣工验收，2023年8月31日出具竣工结算审核报告。南教学楼使用一学期后自2024年9月份因暂停学生配餐，供配餐使用的大厅及配套的餐桌椅、午休室等就暂停了使用，至绩效评价日仍处于闲置状态。无法为学生提供延时及就餐服务；仅乒乓球社团(3楼)武术社团(3楼)，舞蹈社团(2楼)等个别房间正常使用。根据评分规则，该指标得分=7*50%=3.5。</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02BB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3.5</w:t>
            </w:r>
          </w:p>
        </w:tc>
      </w:tr>
      <w:tr w14:paraId="39F1B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B40A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8E3F8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7CC7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D2可持续影响</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1478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F191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D21长效管理机制健全性</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FA6FD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2FD6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项目后续运行及成效发挥的可持续影响情况。</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F338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①机构和人员具有可持续性；②项目资金保障具有可持续性。</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CA59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9ACB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①实施单位为义马市外国语小学，全面负责项目建设和后期管理，机构和人员具有可持续性；②该项目</w:t>
            </w:r>
            <w:r>
              <w:rPr>
                <w:rFonts w:hint="eastAsia" w:ascii="宋体" w:hAnsi="宋体" w:eastAsia="宋体" w:cs="宋体"/>
                <w:color w:val="000000"/>
                <w:kern w:val="0"/>
                <w:sz w:val="18"/>
                <w:szCs w:val="18"/>
                <w:u w:val="none"/>
                <w:lang w:bidi="ar"/>
              </w:rPr>
              <w:t>维护保养资金</w:t>
            </w:r>
            <w:r>
              <w:rPr>
                <w:rFonts w:hint="eastAsia" w:ascii="宋体" w:hAnsi="宋体" w:eastAsia="宋体" w:cs="宋体"/>
                <w:i w:val="0"/>
                <w:iCs w:val="0"/>
                <w:color w:val="000000"/>
                <w:kern w:val="0"/>
                <w:sz w:val="18"/>
                <w:szCs w:val="18"/>
                <w:u w:val="none"/>
                <w:lang w:val="en-US" w:eastAsia="zh-CN" w:bidi="ar"/>
              </w:rPr>
              <w:t>纳入义马市外国语小学预算，项目后续维护资金保障具有可持续性。根据评分标准，该指标得满分。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F8F6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r>
      <w:tr w14:paraId="286C6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855F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0498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5D7E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D3满意度</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6DC1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CBE6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D31群众满意度</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8274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3DB1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当地群众、学校师生对项目实施效果的满意程度。</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E547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根据《义马市外国语小学南教学楼改造项目绩效目标表》当地群众、学校师生对项目整体效果的满意度应达到99%。</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FFE7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满意度达到99%得满分，每降低1%扣除指标分值的5%，扣完为止。</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8EAD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本次服务对象满意度问卷调查对象是该项目的受益师生，有效问卷共107份，根据满意度调查结果显示受益师生整体的满意度为97.87%，其中对外国语小学南教学楼改造效果总体的满意度98.13%，对建设质量的满意度98.13%，对改善教学条件、解决教室紧张的满意度97.20%，对施工过程保护措施的满意度98.46%，对改造后现场清理情况满意度97.76%。根据评分规则，该指标扣（99%-97.87%）*5%*5=0.28分，得分=5-0.28=4.72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74E4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4.72</w:t>
            </w:r>
          </w:p>
        </w:tc>
      </w:tr>
      <w:tr w14:paraId="1AF4A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B39A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0717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321C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18"/>
                <w:szCs w:val="18"/>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B24B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20C5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34BD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7905F">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b/>
                <w:bCs/>
                <w:i w:val="0"/>
                <w:iCs w:val="0"/>
                <w:color w:val="000000"/>
                <w:sz w:val="18"/>
                <w:szCs w:val="18"/>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6894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18"/>
                <w:szCs w:val="18"/>
                <w:u w:val="none"/>
              </w:rPr>
            </w:pP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08E2">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2A02F">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4992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b/>
                <w:bCs/>
                <w:i w:val="0"/>
                <w:iCs w:val="0"/>
                <w:color w:val="000000"/>
                <w:sz w:val="18"/>
                <w:szCs w:val="18"/>
                <w:u w:val="none"/>
                <w:lang w:val="en-US"/>
              </w:rPr>
            </w:pPr>
            <w:r>
              <w:rPr>
                <w:rFonts w:hint="eastAsia" w:ascii="宋体" w:hAnsi="宋体" w:eastAsia="宋体" w:cs="宋体"/>
                <w:b/>
                <w:bCs/>
                <w:i w:val="0"/>
                <w:iCs w:val="0"/>
                <w:color w:val="000000"/>
                <w:kern w:val="0"/>
                <w:sz w:val="18"/>
                <w:szCs w:val="18"/>
                <w:u w:val="none"/>
                <w:lang w:val="en-US" w:eastAsia="zh-CN" w:bidi="ar"/>
              </w:rPr>
              <w:t>69.77</w:t>
            </w:r>
          </w:p>
        </w:tc>
      </w:tr>
    </w:tbl>
    <w:p w14:paraId="6E56C7FF">
      <w:pPr>
        <w:pStyle w:val="14"/>
        <w:ind w:left="0" w:leftChars="0" w:firstLine="0" w:firstLineChars="0"/>
      </w:pPr>
    </w:p>
    <w:sectPr>
      <w:headerReference r:id="rId18" w:type="default"/>
      <w:footerReference r:id="rId19" w:type="default"/>
      <w:pgSz w:w="16838" w:h="11906" w:orient="landscape"/>
      <w:pgMar w:top="1134" w:right="850" w:bottom="850" w:left="850" w:header="851" w:footer="567"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447E0">
    <w:pPr>
      <w:pStyle w:val="10"/>
      <w:ind w:firstLine="0" w:firstLineChars="0"/>
      <w:rPr>
        <w:rFonts w:hint="default"/>
        <w:lang w:val="en-US"/>
      </w:rPr>
    </w:pPr>
    <w:r>
      <w:rPr>
        <w:rFonts w:hint="default" w:ascii="仿宋" w:hAnsi="仿宋" w:eastAsia="仿宋" w:cs="仿宋"/>
        <w:kern w:val="2"/>
        <w:sz w:val="21"/>
        <w:szCs w:val="21"/>
        <w:lang w:val="en-US" w:eastAsia="zh-CN" w:bidi="ar-SA"/>
      </w:rPr>
      <w:pict>
        <v:line id="_x0000_s3073" o:spid="_x0000_s3073" o:spt="20" style="position:absolute;left:0pt;margin-left:-1.95pt;margin-top:-0.45pt;height:0.05pt;width:422.7pt;z-index:251659264;mso-width-relative:page;mso-height-relative:page;" filled="f" stroked="t" coordsize="21600,21600" o:gfxdata="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g&#10;Umtn0QAAAAYBAAAPAAAAAAAAAAEAIAAAACIAAABkcnMvZG93bnJldi54bWxQSwECFAAUAAAACACH&#10;TuJAVpv8kfIBAADmAwAADgAAAAAAAAABACAAAAAgAQAAZHJzL2Uyb0RvYy54bWxQSwUGAAAAAAYA&#10;BgBZAQAAhAUAAAAA&#10;">
          <v:path arrowok="t"/>
          <v:fill on="f" focussize="0,0"/>
          <v:stroke weight="0.5pt" color="#000000" joinstyle="round"/>
          <v:imagedata o:title=""/>
          <o:lock v:ext="edit" aspectratio="f"/>
        </v:line>
      </w:pict>
    </w:r>
    <w:r>
      <w:rPr>
        <w:rFonts w:hint="eastAsia" w:ascii="仿宋" w:hAnsi="仿宋" w:eastAsia="仿宋" w:cs="仿宋"/>
        <w:kern w:val="2"/>
        <w:sz w:val="21"/>
        <w:szCs w:val="21"/>
        <w:lang w:val="en-US" w:eastAsia="zh-CN" w:bidi="ar-SA"/>
      </w:rPr>
      <w:t>河南光大会计师事务所有限公司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01983">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D8E52">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7E2AD">
    <w:pPr>
      <w:pStyle w:val="10"/>
      <w:ind w:firstLine="0" w:firstLineChars="0"/>
      <w:rPr>
        <w:rFonts w:ascii="仿宋_GB2312" w:hAnsi="仿宋" w:cs="仿宋"/>
        <w:sz w:val="21"/>
        <w:szCs w:val="21"/>
      </w:rPr>
    </w:pPr>
    <w:r>
      <w:rPr>
        <w:rFonts w:hint="eastAsia" w:ascii="仿宋" w:hAnsi="仿宋" w:eastAsia="仿宋" w:cs="仿宋"/>
        <w:kern w:val="2"/>
        <w:sz w:val="21"/>
        <w:szCs w:val="21"/>
        <w:lang w:val="en-US" w:eastAsia="zh-CN" w:bidi="ar-SA"/>
      </w:rPr>
      <w:pict>
        <v:line id="直接连接符 2" o:spid="_x0000_s3074" o:spt="20" style="position:absolute;left:0pt;margin-left:-1.25pt;margin-top:-2.5pt;height:0.05pt;width:422.7pt;z-index:251659264;mso-width-relative:page;mso-height-relative:page;" fillcolor="#FFFFFF" filled="f" o:preferrelative="t" stroked="t" coordsize="21600,21600">
          <v:path arrowok="t"/>
          <v:fill on="f" color2="#FFFFFF" focussize="0,0"/>
          <v:stroke weight="0.5pt" color="#000000" color2="#FFFFFF" opacity="65536f" miterlimit="2"/>
          <v:imagedata gain="65536f" blacklevel="0f" gamma="0" o:title=""/>
          <o:lock v:ext="edit" position="f" selection="f" grouping="f" rotation="f" cropping="f" text="f" aspectratio="f"/>
        </v:line>
      </w:pict>
    </w:r>
    <w:r>
      <w:rPr>
        <w:rFonts w:hint="eastAsia" w:ascii="仿宋_GB2312" w:hAnsi="仿宋" w:cs="仿宋"/>
        <w:sz w:val="21"/>
        <w:szCs w:val="21"/>
      </w:rPr>
      <w:t>河南光大会计师事务所有限公司</w:t>
    </w:r>
  </w:p>
  <w:p w14:paraId="73042C86">
    <w:pPr>
      <w:pStyle w:val="10"/>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E423C">
    <w:pPr>
      <w:pStyle w:val="10"/>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7A5CB">
    <w:pPr>
      <w:pStyle w:val="10"/>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4F7C5">
    <w:pPr>
      <w:pStyle w:val="10"/>
      <w:ind w:firstLine="0" w:firstLineChars="0"/>
      <w:rPr>
        <w:rFonts w:ascii="仿宋_GB2312" w:hAnsi="仿宋" w:cs="仿宋"/>
        <w:sz w:val="21"/>
        <w:szCs w:val="21"/>
      </w:rPr>
    </w:pPr>
    <w:r>
      <w:rPr>
        <w:rFonts w:hint="eastAsia" w:ascii="仿宋" w:hAnsi="仿宋" w:eastAsia="仿宋" w:cs="仿宋"/>
        <w:kern w:val="2"/>
        <w:sz w:val="21"/>
        <w:szCs w:val="21"/>
        <w:lang w:val="en-US" w:eastAsia="zh-CN" w:bidi="ar-SA"/>
      </w:rPr>
      <w:pict>
        <v:line id="_x0000_s3075" o:spid="_x0000_s3075" o:spt="20" style="position:absolute;left:0pt;margin-left:-1.25pt;margin-top:-2.5pt;height:0.05pt;width:422.7pt;z-index:251661312;mso-width-relative:page;mso-height-relative:page;" fillcolor="#FFFFFF" filled="f" o:preferrelative="t" stroked="t" coordsize="21600,21600">
          <v:path arrowok="t"/>
          <v:fill on="f" color2="#FFFFFF" focussize="0,0"/>
          <v:stroke weight="0.5pt" color="#000000" color2="#FFFFFF" opacity="65536f" miterlimit="2"/>
          <v:imagedata gain="65536f" blacklevel="0f" gamma="0" o:title=""/>
          <o:lock v:ext="edit" position="f" selection="f" grouping="f" rotation="f" cropping="f" text="f" aspectratio="f"/>
        </v:line>
      </w:pict>
    </w:r>
    <w:r>
      <w:rPr>
        <w:rFonts w:hint="eastAsia" w:ascii="仿宋" w:hAnsi="仿宋" w:eastAsia="仿宋" w:cs="仿宋"/>
        <w:kern w:val="2"/>
        <w:sz w:val="21"/>
        <w:szCs w:val="21"/>
        <w:lang w:val="en-US" w:eastAsia="zh-CN" w:bidi="ar-SA"/>
      </w:rPr>
      <w:pict>
        <v:rect id="文本框 1" o:spid="_x0000_s3076" o:spt="1"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14:paraId="5D50D23E">
                <w:pPr>
                  <w:pStyle w:val="10"/>
                  <w:ind w:firstLine="360"/>
                </w:pPr>
                <w:r>
                  <w:fldChar w:fldCharType="begin"/>
                </w:r>
                <w:r>
                  <w:instrText xml:space="preserve"> PAGE  \* MERGEFORMAT </w:instrText>
                </w:r>
                <w:r>
                  <w:fldChar w:fldCharType="separate"/>
                </w:r>
                <w:r>
                  <w:t>2</w:t>
                </w:r>
                <w:r>
                  <w:fldChar w:fldCharType="end"/>
                </w:r>
              </w:p>
            </w:txbxContent>
          </v:textbox>
        </v:rect>
      </w:pict>
    </w:r>
    <w:r>
      <w:rPr>
        <w:rFonts w:hint="eastAsia" w:ascii="仿宋_GB2312" w:hAnsi="仿宋" w:cs="仿宋"/>
        <w:sz w:val="21"/>
        <w:szCs w:val="21"/>
      </w:rPr>
      <w:t>河南光大会计师事务所有限公司</w:t>
    </w:r>
  </w:p>
  <w:p w14:paraId="57BE6265">
    <w:pPr>
      <w:pStyle w:val="10"/>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0012D">
    <w:pPr>
      <w:pStyle w:val="10"/>
    </w:pPr>
    <w:r>
      <w:rPr>
        <w:sz w:val="18"/>
      </w:rPr>
      <w:pict>
        <v:shape id="_x0000_s3077" o:spid="_x0000_s307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37A57E5F">
                <w:pPr>
                  <w:pStyle w:val="10"/>
                </w:pPr>
                <w:r>
                  <w:fldChar w:fldCharType="begin"/>
                </w:r>
                <w:r>
                  <w:instrText xml:space="preserve"> PAGE  \* MERGEFORMAT </w:instrText>
                </w:r>
                <w:r>
                  <w:fldChar w:fldCharType="separate"/>
                </w:r>
                <w:r>
                  <w:t>12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7D743">
    <w:pPr>
      <w:pStyle w:val="11"/>
      <w:ind w:firstLine="360"/>
      <w:jc w:val="right"/>
    </w:pPr>
  </w:p>
  <w:p w14:paraId="1F9B26A6">
    <w:pPr>
      <w:pStyle w:val="11"/>
      <w:ind w:firstLine="420"/>
      <w:jc w:val="right"/>
      <w:rPr>
        <w:rFonts w:hint="default" w:eastAsia="仿宋_GB2312"/>
        <w:sz w:val="21"/>
        <w:szCs w:val="21"/>
        <w:lang w:val="en-US" w:eastAsia="zh-CN"/>
      </w:rPr>
    </w:pPr>
    <w:r>
      <w:rPr>
        <w:rFonts w:hint="default" w:eastAsia="仿宋_GB2312"/>
        <w:sz w:val="21"/>
        <w:szCs w:val="21"/>
        <w:lang w:val="en-US" w:eastAsia="zh-CN"/>
      </w:rPr>
      <w:t>义马市外国语小学南教学楼改造项目财政支出绩效评价报告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E253F">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A5D70">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4E0AC">
    <w:pPr>
      <w:pStyle w:val="11"/>
      <w:ind w:firstLine="0" w:firstLineChars="0"/>
      <w:jc w:val="right"/>
      <w:rPr>
        <w:sz w:val="21"/>
        <w:szCs w:val="21"/>
      </w:rPr>
    </w:pPr>
    <w:r>
      <w:rPr>
        <w:rFonts w:hint="eastAsia"/>
        <w:sz w:val="21"/>
        <w:szCs w:val="21"/>
        <w:lang w:val="en-US" w:eastAsia="zh-CN"/>
      </w:rPr>
      <w:t>义马市外国语小学南教学楼改造项目</w:t>
    </w:r>
    <w:r>
      <w:rPr>
        <w:rFonts w:hint="eastAsia"/>
        <w:sz w:val="21"/>
        <w:szCs w:val="21"/>
      </w:rPr>
      <w:t>财政支出绩效评价报告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33949">
    <w:pPr>
      <w:pStyle w:val="11"/>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DF135">
    <w:pPr>
      <w:pStyle w:val="11"/>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7482B">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E4MjJlNDA5MDdlOTdmZTNiMTNmNTA0NGEwMWEwNmUifQ=="/>
    <w:docVar w:name="KSO_WPS_MARK_KEY" w:val="926b11dc-1fdf-4daa-a001-ea30c62db7d2"/>
  </w:docVars>
  <w:rsids>
    <w:rsidRoot w:val="00172A27"/>
    <w:rsid w:val="002160E6"/>
    <w:rsid w:val="02892727"/>
    <w:rsid w:val="048E1CAC"/>
    <w:rsid w:val="051C2CDE"/>
    <w:rsid w:val="056F6A80"/>
    <w:rsid w:val="069B41FB"/>
    <w:rsid w:val="07282AF8"/>
    <w:rsid w:val="07605B88"/>
    <w:rsid w:val="077B64C8"/>
    <w:rsid w:val="089B6610"/>
    <w:rsid w:val="08AD4E5F"/>
    <w:rsid w:val="09FE4DE2"/>
    <w:rsid w:val="0C4F165F"/>
    <w:rsid w:val="0CCB0196"/>
    <w:rsid w:val="0CFF67E4"/>
    <w:rsid w:val="0E1A4021"/>
    <w:rsid w:val="0E6124FF"/>
    <w:rsid w:val="0F0F6D8A"/>
    <w:rsid w:val="0F1862C4"/>
    <w:rsid w:val="10862DDA"/>
    <w:rsid w:val="130354DD"/>
    <w:rsid w:val="135874F8"/>
    <w:rsid w:val="14151024"/>
    <w:rsid w:val="14C372D0"/>
    <w:rsid w:val="14EE1926"/>
    <w:rsid w:val="151951B6"/>
    <w:rsid w:val="15A96842"/>
    <w:rsid w:val="17104157"/>
    <w:rsid w:val="19762565"/>
    <w:rsid w:val="19CA335A"/>
    <w:rsid w:val="1A8707A2"/>
    <w:rsid w:val="1A8962C8"/>
    <w:rsid w:val="1AC15A62"/>
    <w:rsid w:val="1C931680"/>
    <w:rsid w:val="1DAD63B2"/>
    <w:rsid w:val="1E214A6A"/>
    <w:rsid w:val="1E533FE2"/>
    <w:rsid w:val="1EAC6E57"/>
    <w:rsid w:val="1FF25BB1"/>
    <w:rsid w:val="214967B1"/>
    <w:rsid w:val="21635739"/>
    <w:rsid w:val="21D45C16"/>
    <w:rsid w:val="21D779D9"/>
    <w:rsid w:val="232B185D"/>
    <w:rsid w:val="239A7550"/>
    <w:rsid w:val="25C85895"/>
    <w:rsid w:val="26867B60"/>
    <w:rsid w:val="274E2D73"/>
    <w:rsid w:val="29C47BA3"/>
    <w:rsid w:val="2B5462EE"/>
    <w:rsid w:val="2C7F5235"/>
    <w:rsid w:val="2D324E00"/>
    <w:rsid w:val="2D61515B"/>
    <w:rsid w:val="2DBA12B4"/>
    <w:rsid w:val="2DD231BE"/>
    <w:rsid w:val="2E8E1CA7"/>
    <w:rsid w:val="2FF77A2F"/>
    <w:rsid w:val="31040AE1"/>
    <w:rsid w:val="313A6907"/>
    <w:rsid w:val="332842F1"/>
    <w:rsid w:val="334450DF"/>
    <w:rsid w:val="34AC33AB"/>
    <w:rsid w:val="34BC77EC"/>
    <w:rsid w:val="34D0790B"/>
    <w:rsid w:val="35B5079A"/>
    <w:rsid w:val="377C4D93"/>
    <w:rsid w:val="3793032E"/>
    <w:rsid w:val="37F260DB"/>
    <w:rsid w:val="38016A62"/>
    <w:rsid w:val="3803406C"/>
    <w:rsid w:val="38995E18"/>
    <w:rsid w:val="391F49A7"/>
    <w:rsid w:val="392576AC"/>
    <w:rsid w:val="3B485DB1"/>
    <w:rsid w:val="3B770CB4"/>
    <w:rsid w:val="3D67790A"/>
    <w:rsid w:val="3E042443"/>
    <w:rsid w:val="3EC11C25"/>
    <w:rsid w:val="3F1955BD"/>
    <w:rsid w:val="3F797E8F"/>
    <w:rsid w:val="3FDA7C7F"/>
    <w:rsid w:val="40A62B4A"/>
    <w:rsid w:val="41E11320"/>
    <w:rsid w:val="41E1451F"/>
    <w:rsid w:val="43DC7A6D"/>
    <w:rsid w:val="44626EAA"/>
    <w:rsid w:val="49137521"/>
    <w:rsid w:val="491F6D89"/>
    <w:rsid w:val="493C688D"/>
    <w:rsid w:val="49494CF1"/>
    <w:rsid w:val="49AB18F4"/>
    <w:rsid w:val="4A4A0B50"/>
    <w:rsid w:val="4B410983"/>
    <w:rsid w:val="4B797B0F"/>
    <w:rsid w:val="4C6940C2"/>
    <w:rsid w:val="4D6640C3"/>
    <w:rsid w:val="4E2D7F4C"/>
    <w:rsid w:val="4F4A7D22"/>
    <w:rsid w:val="4FA8675D"/>
    <w:rsid w:val="503F101D"/>
    <w:rsid w:val="5270087E"/>
    <w:rsid w:val="536E11E4"/>
    <w:rsid w:val="58AE691E"/>
    <w:rsid w:val="58C6719B"/>
    <w:rsid w:val="58F26D53"/>
    <w:rsid w:val="5AF6287B"/>
    <w:rsid w:val="5B0F5D9A"/>
    <w:rsid w:val="5C33333F"/>
    <w:rsid w:val="5C3A530B"/>
    <w:rsid w:val="5CBD2200"/>
    <w:rsid w:val="5CC15BA8"/>
    <w:rsid w:val="5E8D01FE"/>
    <w:rsid w:val="5EB43529"/>
    <w:rsid w:val="5F5560EA"/>
    <w:rsid w:val="5F923F14"/>
    <w:rsid w:val="5FE40C56"/>
    <w:rsid w:val="60962895"/>
    <w:rsid w:val="619A3EE4"/>
    <w:rsid w:val="63716A7D"/>
    <w:rsid w:val="63A6324E"/>
    <w:rsid w:val="63C95255"/>
    <w:rsid w:val="64AD52C2"/>
    <w:rsid w:val="65DA1B9B"/>
    <w:rsid w:val="66117058"/>
    <w:rsid w:val="66687744"/>
    <w:rsid w:val="67554D17"/>
    <w:rsid w:val="69766FE4"/>
    <w:rsid w:val="69C46071"/>
    <w:rsid w:val="6A0E5FE5"/>
    <w:rsid w:val="6C6F6825"/>
    <w:rsid w:val="6D337C68"/>
    <w:rsid w:val="6DDB04E3"/>
    <w:rsid w:val="6F052651"/>
    <w:rsid w:val="700F31DE"/>
    <w:rsid w:val="70235E7F"/>
    <w:rsid w:val="71D26B2B"/>
    <w:rsid w:val="72EA3A04"/>
    <w:rsid w:val="73660B35"/>
    <w:rsid w:val="73722D8E"/>
    <w:rsid w:val="73963B72"/>
    <w:rsid w:val="7572564E"/>
    <w:rsid w:val="76432944"/>
    <w:rsid w:val="76B16810"/>
    <w:rsid w:val="770C61B4"/>
    <w:rsid w:val="77EC4573"/>
    <w:rsid w:val="78194928"/>
    <w:rsid w:val="782E1444"/>
    <w:rsid w:val="78386C54"/>
    <w:rsid w:val="7A402E1C"/>
    <w:rsid w:val="7ACF0C4A"/>
    <w:rsid w:val="7B9C3190"/>
    <w:rsid w:val="7C156B31"/>
    <w:rsid w:val="7DA12803"/>
    <w:rsid w:val="7E15779B"/>
    <w:rsid w:val="7F3F631A"/>
    <w:rsid w:val="7F83107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3"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outlineLvl w:val="0"/>
    </w:pPr>
    <w:rPr>
      <w:rFonts w:eastAsia="黑体"/>
      <w:szCs w:val="28"/>
    </w:rPr>
  </w:style>
  <w:style w:type="paragraph" w:styleId="3">
    <w:name w:val="heading 2"/>
    <w:basedOn w:val="4"/>
    <w:next w:val="1"/>
    <w:qFormat/>
    <w:uiPriority w:val="0"/>
    <w:pPr>
      <w:ind w:firstLine="883"/>
      <w:outlineLvl w:val="1"/>
    </w:pPr>
    <w:rPr>
      <w:rFonts w:eastAsia="楷体"/>
      <w:szCs w:val="28"/>
    </w:rPr>
  </w:style>
  <w:style w:type="paragraph" w:styleId="5">
    <w:name w:val="heading 3"/>
    <w:basedOn w:val="4"/>
    <w:next w:val="1"/>
    <w:qFormat/>
    <w:uiPriority w:val="0"/>
    <w:pPr>
      <w:ind w:firstLine="883"/>
      <w:outlineLvl w:val="2"/>
    </w:pPr>
    <w:rPr>
      <w:szCs w:val="28"/>
    </w:rPr>
  </w:style>
  <w:style w:type="paragraph" w:styleId="6">
    <w:name w:val="heading 4"/>
    <w:basedOn w:val="1"/>
    <w:next w:val="1"/>
    <w:qFormat/>
    <w:uiPriority w:val="0"/>
    <w:pPr>
      <w:keepNext/>
      <w:keepLines/>
      <w:spacing w:before="200"/>
      <w:outlineLvl w:val="3"/>
    </w:pPr>
    <w:rPr>
      <w:rFonts w:ascii="等线 Light" w:hAnsi="等线 Light" w:eastAsia="等线 Light"/>
      <w:b/>
      <w:bCs/>
      <w:sz w:val="28"/>
      <w:szCs w:val="28"/>
    </w:rPr>
  </w:style>
  <w:style w:type="character" w:default="1" w:styleId="13">
    <w:name w:val="Default Paragraph Font"/>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4">
    <w:name w:val="List Paragraph"/>
    <w:basedOn w:val="1"/>
    <w:autoRedefine/>
    <w:qFormat/>
    <w:uiPriority w:val="0"/>
    <w:pPr>
      <w:ind w:firstLine="420"/>
    </w:pPr>
  </w:style>
  <w:style w:type="paragraph" w:styleId="7">
    <w:name w:val="annotation text"/>
    <w:basedOn w:val="1"/>
    <w:link w:val="18"/>
    <w:qFormat/>
    <w:uiPriority w:val="0"/>
    <w:pPr>
      <w:jc w:val="left"/>
    </w:pPr>
    <w:rPr>
      <w:rFonts w:eastAsia="仿宋_GB2312"/>
      <w:kern w:val="2"/>
      <w:sz w:val="32"/>
      <w:szCs w:val="24"/>
    </w:rPr>
  </w:style>
  <w:style w:type="paragraph" w:styleId="8">
    <w:name w:val="Body Text"/>
    <w:basedOn w:val="1"/>
    <w:next w:val="9"/>
    <w:autoRedefine/>
    <w:qFormat/>
    <w:uiPriority w:val="0"/>
    <w:pPr>
      <w:spacing w:line="560" w:lineRule="exact"/>
    </w:pPr>
    <w:rPr>
      <w:szCs w:val="32"/>
    </w:rPr>
  </w:style>
  <w:style w:type="paragraph" w:customStyle="1" w:styleId="9">
    <w:name w:val="Body Text 2"/>
    <w:basedOn w:val="1"/>
    <w:autoRedefine/>
    <w:qFormat/>
    <w:uiPriority w:val="0"/>
    <w:pPr>
      <w:spacing w:line="480" w:lineRule="auto"/>
      <w:jc w:val="center"/>
    </w:pPr>
    <w:rPr>
      <w:sz w:val="24"/>
    </w:rPr>
  </w:style>
  <w:style w:type="paragraph" w:styleId="10">
    <w:name w:val="footer"/>
    <w:basedOn w:val="1"/>
    <w:link w:val="22"/>
    <w:qFormat/>
    <w:uiPriority w:val="0"/>
    <w:pPr>
      <w:tabs>
        <w:tab w:val="center" w:pos="4153"/>
        <w:tab w:val="right" w:pos="8306"/>
      </w:tabs>
      <w:snapToGrid w:val="0"/>
      <w:jc w:val="left"/>
    </w:pPr>
    <w:rPr>
      <w:rFonts w:eastAsia="仿宋_GB2312"/>
      <w:kern w:val="2"/>
      <w:sz w:val="18"/>
      <w:szCs w:val="18"/>
    </w:rPr>
  </w:style>
  <w:style w:type="paragraph" w:styleId="11">
    <w:name w:val="header"/>
    <w:basedOn w:val="1"/>
    <w:link w:val="23"/>
    <w:autoRedefine/>
    <w:qFormat/>
    <w:uiPriority w:val="0"/>
    <w:pPr>
      <w:pBdr>
        <w:bottom w:val="single" w:color="auto" w:sz="6" w:space="1"/>
      </w:pBdr>
      <w:tabs>
        <w:tab w:val="center" w:pos="4153"/>
        <w:tab w:val="right" w:pos="8306"/>
      </w:tabs>
      <w:snapToGrid w:val="0"/>
      <w:jc w:val="center"/>
    </w:pPr>
    <w:rPr>
      <w:rFonts w:eastAsia="仿宋_GB2312"/>
      <w:kern w:val="2"/>
      <w:sz w:val="18"/>
      <w:szCs w:val="18"/>
    </w:rPr>
  </w:style>
  <w:style w:type="paragraph" w:customStyle="1" w:styleId="14">
    <w:name w:val="Body Text First Indent 2"/>
    <w:basedOn w:val="15"/>
    <w:next w:val="1"/>
    <w:autoRedefine/>
    <w:qFormat/>
    <w:uiPriority w:val="0"/>
    <w:pPr>
      <w:ind w:firstLine="420"/>
    </w:pPr>
    <w:rPr>
      <w:kern w:val="0"/>
      <w:sz w:val="20"/>
    </w:rPr>
  </w:style>
  <w:style w:type="paragraph" w:customStyle="1" w:styleId="15">
    <w:name w:val="Body Text Indent"/>
    <w:basedOn w:val="1"/>
    <w:next w:val="16"/>
    <w:autoRedefine/>
    <w:qFormat/>
    <w:uiPriority w:val="0"/>
    <w:pPr>
      <w:spacing w:after="120"/>
      <w:ind w:left="420" w:leftChars="200"/>
    </w:pPr>
  </w:style>
  <w:style w:type="paragraph" w:customStyle="1" w:styleId="16">
    <w:name w:val="envelope return"/>
    <w:basedOn w:val="1"/>
    <w:autoRedefine/>
    <w:qFormat/>
    <w:uiPriority w:val="0"/>
    <w:pPr>
      <w:snapToGrid w:val="0"/>
    </w:pPr>
    <w:rPr>
      <w:rFonts w:ascii="Arial" w:hAnsi="Arial"/>
    </w:rPr>
  </w:style>
  <w:style w:type="character" w:customStyle="1" w:styleId="17">
    <w:name w:val="批注主题 Char"/>
    <w:basedOn w:val="18"/>
    <w:link w:val="19"/>
    <w:autoRedefine/>
    <w:semiHidden/>
    <w:qFormat/>
    <w:uiPriority w:val="0"/>
    <w:rPr>
      <w:rFonts w:eastAsia="仿宋_GB2312"/>
      <w:b/>
      <w:bCs/>
      <w:kern w:val="2"/>
      <w:sz w:val="32"/>
      <w:szCs w:val="24"/>
    </w:rPr>
  </w:style>
  <w:style w:type="character" w:customStyle="1" w:styleId="18">
    <w:name w:val="批注文字 Char"/>
    <w:basedOn w:val="13"/>
    <w:link w:val="7"/>
    <w:autoRedefine/>
    <w:semiHidden/>
    <w:qFormat/>
    <w:uiPriority w:val="0"/>
    <w:rPr>
      <w:rFonts w:eastAsia="仿宋_GB2312"/>
      <w:kern w:val="2"/>
      <w:sz w:val="32"/>
      <w:szCs w:val="24"/>
    </w:rPr>
  </w:style>
  <w:style w:type="paragraph" w:customStyle="1" w:styleId="19">
    <w:name w:val="annotation subject"/>
    <w:basedOn w:val="7"/>
    <w:next w:val="7"/>
    <w:link w:val="17"/>
    <w:autoRedefine/>
    <w:qFormat/>
    <w:uiPriority w:val="0"/>
    <w:rPr>
      <w:rFonts w:eastAsia="仿宋_GB2312"/>
      <w:b/>
      <w:bCs/>
      <w:kern w:val="2"/>
      <w:sz w:val="32"/>
      <w:szCs w:val="24"/>
    </w:rPr>
  </w:style>
  <w:style w:type="paragraph" w:customStyle="1" w:styleId="20">
    <w:name w:val="批注框文本1"/>
    <w:basedOn w:val="1"/>
    <w:link w:val="21"/>
    <w:autoRedefine/>
    <w:qFormat/>
    <w:uiPriority w:val="0"/>
    <w:rPr>
      <w:rFonts w:eastAsia="仿宋_GB2312"/>
      <w:kern w:val="2"/>
      <w:sz w:val="18"/>
      <w:szCs w:val="18"/>
    </w:rPr>
  </w:style>
  <w:style w:type="character" w:customStyle="1" w:styleId="21">
    <w:name w:val="批注框文本 Char"/>
    <w:basedOn w:val="13"/>
    <w:link w:val="20"/>
    <w:autoRedefine/>
    <w:semiHidden/>
    <w:qFormat/>
    <w:uiPriority w:val="0"/>
    <w:rPr>
      <w:rFonts w:eastAsia="仿宋_GB2312"/>
      <w:kern w:val="2"/>
      <w:sz w:val="18"/>
      <w:szCs w:val="18"/>
    </w:rPr>
  </w:style>
  <w:style w:type="character" w:customStyle="1" w:styleId="22">
    <w:name w:val="页脚 Char"/>
    <w:basedOn w:val="13"/>
    <w:link w:val="10"/>
    <w:autoRedefine/>
    <w:semiHidden/>
    <w:qFormat/>
    <w:uiPriority w:val="0"/>
    <w:rPr>
      <w:rFonts w:eastAsia="仿宋_GB2312"/>
      <w:kern w:val="2"/>
      <w:sz w:val="18"/>
      <w:szCs w:val="18"/>
    </w:rPr>
  </w:style>
  <w:style w:type="character" w:customStyle="1" w:styleId="23">
    <w:name w:val="页眉 Char"/>
    <w:basedOn w:val="13"/>
    <w:link w:val="11"/>
    <w:autoRedefine/>
    <w:semiHidden/>
    <w:qFormat/>
    <w:uiPriority w:val="0"/>
    <w:rPr>
      <w:rFonts w:eastAsia="仿宋_GB2312"/>
      <w:kern w:val="2"/>
      <w:sz w:val="18"/>
      <w:szCs w:val="18"/>
    </w:rPr>
  </w:style>
  <w:style w:type="paragraph" w:customStyle="1" w:styleId="24">
    <w:name w:val="Normal Indent"/>
    <w:autoRedefine/>
    <w:qFormat/>
    <w:uiPriority w:val="0"/>
    <w:pPr>
      <w:widowControl w:val="0"/>
      <w:ind w:firstLine="420"/>
      <w:jc w:val="both"/>
    </w:pPr>
    <w:rPr>
      <w:rFonts w:ascii="Times New Roman" w:hAnsi="Times New Roman" w:eastAsia="宋体" w:cs="Times New Roman"/>
      <w:kern w:val="2"/>
      <w:sz w:val="21"/>
      <w:lang w:val="en-US" w:eastAsia="zh-CN" w:bidi="ar-SA"/>
    </w:rPr>
  </w:style>
  <w:style w:type="paragraph" w:customStyle="1" w:styleId="25">
    <w:name w:val="闻政正文"/>
    <w:basedOn w:val="1"/>
    <w:autoRedefine/>
    <w:qFormat/>
    <w:uiPriority w:val="0"/>
    <w:pPr>
      <w:spacing w:line="500" w:lineRule="exact"/>
      <w:ind w:firstLine="560"/>
    </w:pPr>
    <w:rPr>
      <w:kern w:val="0"/>
      <w:sz w:val="28"/>
      <w:szCs w:val="28"/>
    </w:rPr>
  </w:style>
  <w:style w:type="paragraph" w:customStyle="1" w:styleId="26">
    <w:name w:val="安策正文"/>
    <w:basedOn w:val="1"/>
    <w:autoRedefine/>
    <w:qFormat/>
    <w:uiPriority w:val="0"/>
    <w:pPr>
      <w:spacing w:line="560" w:lineRule="exact"/>
      <w:ind w:firstLine="200"/>
    </w:pPr>
    <w:rPr>
      <w:rFonts w:eastAsia="仿宋"/>
      <w:kern w:val="0"/>
      <w:szCs w:val="32"/>
      <w:lang w:val="zh-CN"/>
    </w:rPr>
  </w:style>
  <w:style w:type="character" w:customStyle="1" w:styleId="27">
    <w:name w:val="annotation reference"/>
    <w:basedOn w:val="13"/>
    <w:autoRedefine/>
    <w:qFormat/>
    <w:uiPriority w:val="0"/>
    <w:rPr>
      <w:sz w:val="21"/>
      <w:szCs w:val="21"/>
    </w:rPr>
  </w:style>
  <w:style w:type="character" w:customStyle="1" w:styleId="28">
    <w:name w:val="font21"/>
    <w:basedOn w:val="13"/>
    <w:autoRedefine/>
    <w:qFormat/>
    <w:uiPriority w:val="0"/>
    <w:rPr>
      <w:rFonts w:hint="eastAsia" w:ascii="宋体" w:hAnsi="宋体" w:eastAsia="宋体" w:cs="宋体"/>
      <w:b/>
      <w:bCs/>
      <w:color w:val="000000"/>
      <w:sz w:val="20"/>
      <w:szCs w:val="20"/>
      <w:u w:val="none"/>
    </w:rPr>
  </w:style>
  <w:style w:type="character" w:customStyle="1" w:styleId="29">
    <w:name w:val="font31"/>
    <w:basedOn w:val="13"/>
    <w:autoRedefine/>
    <w:qFormat/>
    <w:uiPriority w:val="0"/>
    <w:rPr>
      <w:rFonts w:hint="eastAsia" w:ascii="宋体" w:hAnsi="宋体" w:eastAsia="宋体" w:cs="宋体"/>
      <w:color w:val="000000"/>
      <w:sz w:val="20"/>
      <w:szCs w:val="20"/>
      <w:u w:val="none"/>
    </w:rPr>
  </w:style>
  <w:style w:type="character" w:customStyle="1" w:styleId="30">
    <w:name w:val="font11"/>
    <w:basedOn w:val="13"/>
    <w:autoRedefine/>
    <w:qFormat/>
    <w:uiPriority w:val="0"/>
    <w:rPr>
      <w:rFonts w:hint="eastAsia" w:ascii="宋体" w:hAnsi="宋体" w:eastAsia="宋体" w:cs="宋体"/>
      <w:color w:val="000000"/>
      <w:sz w:val="20"/>
      <w:szCs w:val="20"/>
      <w:u w:val="none"/>
    </w:rPr>
  </w:style>
  <w:style w:type="character" w:customStyle="1" w:styleId="31">
    <w:name w:val="font41"/>
    <w:basedOn w:val="13"/>
    <w:qFormat/>
    <w:uiPriority w:val="0"/>
    <w:rPr>
      <w:rFonts w:hint="eastAsia" w:ascii="微软雅黑" w:hAnsi="微软雅黑" w:eastAsia="微软雅黑" w:cs="微软雅黑"/>
      <w:color w:val="0070C0"/>
      <w:sz w:val="18"/>
      <w:szCs w:val="18"/>
      <w:u w:val="none"/>
    </w:rPr>
  </w:style>
  <w:style w:type="character" w:customStyle="1" w:styleId="32">
    <w:name w:val="font51"/>
    <w:basedOn w:val="13"/>
    <w:qFormat/>
    <w:uiPriority w:val="0"/>
    <w:rPr>
      <w:rFonts w:hint="eastAsia" w:ascii="宋体" w:hAnsi="宋体" w:eastAsia="宋体" w:cs="宋体"/>
      <w:color w:val="FF0000"/>
      <w:sz w:val="18"/>
      <w:szCs w:val="18"/>
      <w:u w:val="none"/>
    </w:rPr>
  </w:style>
  <w:style w:type="paragraph" w:customStyle="1" w:styleId="3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textRotate="1"/>
    <customShpInfo spid="_x0000_s3074" textRotate="1"/>
    <customShpInfo spid="_x0000_s3075" textRotate="1"/>
    <customShpInfo spid="_x0000_s3076" textRotate="1"/>
    <customShpInfo spid="_x0000_s307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9271</Words>
  <Characters>10188</Characters>
  <Lines>44</Lines>
  <Paragraphs>12</Paragraphs>
  <TotalTime>3</TotalTime>
  <ScaleCrop>false</ScaleCrop>
  <LinksUpToDate>false</LinksUpToDate>
  <CharactersWithSpaces>10658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2022-11-23T10:02:00Z</dcterms:created>
  <dc:creator>M</dc:creator>
  <cp:lastModifiedBy>赵玉杰</cp:lastModifiedBy>
  <dcterms:modified xsi:type="dcterms:W3CDTF">2024-12-11T00:48:28Z</dcterms:modified>
  <dc:title>zhou</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7794366B806A44A2A37B8D3C7DA529CD</vt:lpwstr>
  </property>
</Properties>
</file>