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B2278">
      <w:pPr>
        <w:spacing w:afterLines="50" w:line="6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号提案</w:t>
      </w:r>
    </w:p>
    <w:p w14:paraId="73FCEA88">
      <w:pPr>
        <w:widowControl/>
        <w:spacing w:line="600" w:lineRule="exact"/>
        <w:ind w:left="1283" w:leftChars="305" w:hanging="643" w:hangingChars="200"/>
        <w:jc w:val="left"/>
        <w:rPr>
          <w:rFonts w:ascii="宋体" w:hAnsi="宋体" w:cs="Arial"/>
          <w:b/>
          <w:bCs/>
          <w:color w:val="000000"/>
          <w:kern w:val="0"/>
          <w:sz w:val="32"/>
          <w:szCs w:val="32"/>
        </w:rPr>
      </w:pPr>
    </w:p>
    <w:p w14:paraId="5D8618B5">
      <w:pPr>
        <w:widowControl/>
        <w:spacing w:line="600" w:lineRule="exact"/>
        <w:ind w:left="1920" w:leftChars="305" w:hanging="1280" w:hangingChars="400"/>
        <w:jc w:val="left"/>
        <w:rPr>
          <w:rFonts w:ascii="仿宋" w:hAnsi="仿宋" w:eastAsia="仿宋" w:cs="仿宋"/>
          <w:b w:val="0"/>
          <w:bCs w:val="0"/>
          <w:color w:val="000000"/>
          <w:kern w:val="0"/>
          <w:sz w:val="32"/>
          <w:szCs w:val="32"/>
        </w:rPr>
      </w:pPr>
      <w:r>
        <w:rPr>
          <w:rFonts w:hint="eastAsia" w:ascii="黑体" w:hAnsi="黑体" w:eastAsia="黑体" w:cs="黑体"/>
          <w:color w:val="000000"/>
          <w:kern w:val="0"/>
          <w:sz w:val="32"/>
          <w:szCs w:val="32"/>
        </w:rPr>
        <w:t>案  由</w:t>
      </w:r>
      <w:r>
        <w:rPr>
          <w:rFonts w:hint="eastAsia" w:ascii="黑体" w:hAnsi="黑体" w:eastAsia="黑体" w:cs="黑体"/>
          <w:b/>
          <w:bCs/>
          <w:color w:val="000000"/>
          <w:kern w:val="0"/>
          <w:sz w:val="32"/>
          <w:szCs w:val="32"/>
        </w:rPr>
        <w:t>：</w:t>
      </w:r>
      <w:r>
        <w:rPr>
          <w:rFonts w:hint="eastAsia" w:ascii="Times New Roman" w:hAnsi="Times New Roman" w:eastAsia="仿宋_GB2312" w:cs="Times New Roman"/>
          <w:color w:val="000000"/>
          <w:kern w:val="0"/>
          <w:sz w:val="32"/>
          <w:szCs w:val="32"/>
        </w:rPr>
        <w:t>聚焦民营企业培优育强，加大对民营经济支持力度，推进我市高质量发展</w:t>
      </w:r>
    </w:p>
    <w:p w14:paraId="56DB8D40">
      <w:pPr>
        <w:widowControl/>
        <w:spacing w:line="60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内  容：</w:t>
      </w:r>
    </w:p>
    <w:p w14:paraId="362F71A9">
      <w:pPr>
        <w:spacing w:line="600" w:lineRule="exact"/>
        <w:ind w:firstLine="640" w:firstLineChars="200"/>
        <w:jc w:val="left"/>
        <w:rPr>
          <w:rFonts w:hint="eastAsia" w:ascii="黑体" w:hAnsi="黑体" w:eastAsia="仿宋_GB2312" w:cs="黑体"/>
          <w:bCs/>
          <w:sz w:val="32"/>
          <w:szCs w:val="32"/>
          <w:lang w:eastAsia="zh-CN"/>
        </w:rPr>
      </w:pPr>
      <w:r>
        <w:rPr>
          <w:rFonts w:hint="eastAsia" w:ascii="仿宋_GB2312" w:hAnsi="仿宋_GB2312" w:eastAsia="仿宋_GB2312" w:cs="仿宋_GB2312"/>
          <w:i w:val="0"/>
          <w:iCs w:val="0"/>
          <w:caps w:val="0"/>
          <w:color w:val="353535"/>
          <w:spacing w:val="0"/>
          <w:sz w:val="32"/>
          <w:szCs w:val="32"/>
          <w:shd w:val="clear" w:color="auto" w:fill="auto"/>
        </w:rPr>
        <w:t>民营经济的规模和发展需要取得更多的支持,我市的传统产业转型升级缓慢、科技水平较低、核心竞争力不高，高技术含量、高附加值的生产能力短缺，与先进地区企业的差距显著。结构相对单一,发展活力不足,需要政府加以支持,提升民营经济活力</w:t>
      </w:r>
      <w:r>
        <w:rPr>
          <w:rFonts w:hint="eastAsia" w:ascii="仿宋_GB2312" w:hAnsi="仿宋_GB2312" w:eastAsia="仿宋_GB2312" w:cs="仿宋_GB2312"/>
          <w:i w:val="0"/>
          <w:iCs w:val="0"/>
          <w:caps w:val="0"/>
          <w:color w:val="353535"/>
          <w:spacing w:val="0"/>
          <w:sz w:val="32"/>
          <w:szCs w:val="32"/>
          <w:shd w:val="clear" w:color="auto" w:fill="auto"/>
          <w:lang w:eastAsia="zh-CN"/>
        </w:rPr>
        <w:t>。</w:t>
      </w:r>
      <w:r>
        <w:rPr>
          <w:rFonts w:hint="eastAsia" w:ascii="仿宋_GB2312" w:hAnsi="仿宋_GB2312" w:eastAsia="仿宋_GB2312" w:cs="仿宋_GB2312"/>
          <w:i w:val="0"/>
          <w:iCs w:val="0"/>
          <w:caps w:val="0"/>
          <w:color w:val="353535"/>
          <w:spacing w:val="0"/>
          <w:sz w:val="32"/>
          <w:szCs w:val="32"/>
          <w:shd w:val="clear" w:color="auto" w:fill="auto"/>
        </w:rPr>
        <w:t>民营经济规模偏小</w:t>
      </w:r>
      <w:r>
        <w:rPr>
          <w:rFonts w:hint="eastAsia" w:ascii="仿宋_GB2312" w:hAnsi="仿宋_GB2312" w:eastAsia="仿宋_GB2312" w:cs="仿宋_GB2312"/>
          <w:i w:val="0"/>
          <w:iCs w:val="0"/>
          <w:caps w:val="0"/>
          <w:color w:val="353535"/>
          <w:spacing w:val="0"/>
          <w:sz w:val="32"/>
          <w:szCs w:val="32"/>
          <w:shd w:val="clear" w:color="auto" w:fill="auto"/>
          <w:lang w:val="en-US" w:eastAsia="zh-CN"/>
        </w:rPr>
        <w:t>,</w:t>
      </w:r>
      <w:r>
        <w:rPr>
          <w:rFonts w:hint="eastAsia" w:ascii="仿宋_GB2312" w:hAnsi="仿宋_GB2312" w:eastAsia="仿宋_GB2312" w:cs="仿宋_GB2312"/>
          <w:i w:val="0"/>
          <w:iCs w:val="0"/>
          <w:caps w:val="0"/>
          <w:color w:val="353535"/>
          <w:spacing w:val="0"/>
          <w:sz w:val="32"/>
          <w:szCs w:val="32"/>
          <w:shd w:val="clear" w:color="auto" w:fill="auto"/>
        </w:rPr>
        <w:t>对我市经济发展的支撑和稳定作用不强,需进一步加强</w:t>
      </w:r>
      <w:r>
        <w:rPr>
          <w:rFonts w:hint="eastAsia" w:ascii="仿宋_GB2312" w:hAnsi="仿宋_GB2312" w:eastAsia="仿宋_GB2312" w:cs="仿宋_GB2312"/>
          <w:i w:val="0"/>
          <w:iCs w:val="0"/>
          <w:caps w:val="0"/>
          <w:color w:val="353535"/>
          <w:spacing w:val="0"/>
          <w:sz w:val="32"/>
          <w:szCs w:val="32"/>
          <w:shd w:val="clear" w:color="auto" w:fill="auto"/>
          <w:lang w:eastAsia="zh-CN"/>
        </w:rPr>
        <w:t>。</w:t>
      </w:r>
    </w:p>
    <w:p w14:paraId="72EAFED6">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办  法：</w:t>
      </w:r>
    </w:p>
    <w:p w14:paraId="0ED083CC">
      <w:pPr>
        <w:numPr>
          <w:ilvl w:val="0"/>
          <w:numId w:val="0"/>
        </w:numPr>
        <w:spacing w:line="600" w:lineRule="exact"/>
        <w:ind w:firstLine="640" w:firstLineChars="200"/>
        <w:jc w:val="left"/>
        <w:rPr>
          <w:rFonts w:hint="eastAsia" w:ascii="仿宋_GB2312" w:hAnsi="仿宋_GB2312" w:eastAsia="仿宋_GB2312" w:cs="仿宋_GB2312"/>
          <w:spacing w:val="10"/>
          <w:sz w:val="32"/>
          <w:szCs w:val="32"/>
          <w:shd w:val="clear" w:color="auto" w:fill="auto"/>
        </w:rPr>
      </w:pPr>
      <w:r>
        <w:rPr>
          <w:rFonts w:hint="eastAsia" w:ascii="仿宋_GB2312" w:hAnsi="仿宋_GB2312" w:eastAsia="仿宋_GB2312" w:cs="仿宋_GB2312"/>
          <w:i w:val="0"/>
          <w:iCs w:val="0"/>
          <w:caps w:val="0"/>
          <w:color w:val="353535"/>
          <w:spacing w:val="0"/>
          <w:sz w:val="32"/>
          <w:szCs w:val="32"/>
          <w:shd w:val="clear" w:color="auto" w:fill="auto"/>
          <w:lang w:val="en-US" w:eastAsia="zh-CN"/>
        </w:rPr>
        <w:t>1.</w:t>
      </w:r>
      <w:r>
        <w:rPr>
          <w:rFonts w:hint="eastAsia" w:ascii="仿宋_GB2312" w:hAnsi="仿宋_GB2312" w:eastAsia="仿宋_GB2312" w:cs="仿宋_GB2312"/>
          <w:i w:val="0"/>
          <w:iCs w:val="0"/>
          <w:caps w:val="0"/>
          <w:color w:val="353535"/>
          <w:spacing w:val="0"/>
          <w:sz w:val="32"/>
          <w:szCs w:val="32"/>
          <w:shd w:val="clear" w:color="auto" w:fill="auto"/>
        </w:rPr>
        <w:t>育优做强优质企业。应集成政策、资源、资金、土地等要素保障，做强引领性民营企业。深入开展对标提升</w:t>
      </w:r>
      <w:r>
        <w:rPr>
          <w:rFonts w:hint="eastAsia" w:ascii="仿宋_GB2312" w:hAnsi="仿宋_GB2312" w:eastAsia="仿宋_GB2312" w:cs="仿宋_GB2312"/>
          <w:i w:val="0"/>
          <w:iCs w:val="0"/>
          <w:caps w:val="0"/>
          <w:color w:val="353535"/>
          <w:spacing w:val="0"/>
          <w:sz w:val="32"/>
          <w:szCs w:val="32"/>
          <w:shd w:val="clear" w:color="auto" w:fill="auto"/>
          <w:lang w:val="en-US" w:eastAsia="zh-CN"/>
        </w:rPr>
        <w:t>,建议</w:t>
      </w:r>
      <w:r>
        <w:rPr>
          <w:rFonts w:hint="eastAsia" w:ascii="仿宋_GB2312" w:hAnsi="仿宋_GB2312" w:eastAsia="仿宋_GB2312" w:cs="仿宋_GB2312"/>
          <w:i w:val="0"/>
          <w:iCs w:val="0"/>
          <w:caps w:val="0"/>
          <w:color w:val="353535"/>
          <w:spacing w:val="0"/>
          <w:sz w:val="32"/>
          <w:szCs w:val="32"/>
          <w:shd w:val="clear" w:color="auto" w:fill="auto"/>
        </w:rPr>
        <w:t>筛选一批谋划系统、措施扎实、成效明显的企业作为典型代表，组织开展宣传</w:t>
      </w:r>
      <w:r>
        <w:rPr>
          <w:rFonts w:hint="eastAsia" w:ascii="仿宋_GB2312" w:hAnsi="仿宋_GB2312" w:eastAsia="仿宋_GB2312" w:cs="仿宋_GB2312"/>
          <w:i w:val="0"/>
          <w:iCs w:val="0"/>
          <w:caps w:val="0"/>
          <w:color w:val="353535"/>
          <w:spacing w:val="0"/>
          <w:sz w:val="32"/>
          <w:szCs w:val="32"/>
          <w:shd w:val="clear" w:color="auto" w:fill="auto"/>
          <w:lang w:eastAsia="zh-CN"/>
        </w:rPr>
        <w:t>及</w:t>
      </w:r>
      <w:r>
        <w:rPr>
          <w:rFonts w:hint="eastAsia" w:ascii="仿宋_GB2312" w:hAnsi="仿宋_GB2312" w:eastAsia="仿宋_GB2312" w:cs="仿宋_GB2312"/>
          <w:i w:val="0"/>
          <w:iCs w:val="0"/>
          <w:caps w:val="0"/>
          <w:color w:val="353535"/>
          <w:spacing w:val="0"/>
          <w:sz w:val="32"/>
          <w:szCs w:val="32"/>
          <w:shd w:val="clear" w:color="auto" w:fill="auto"/>
        </w:rPr>
        <w:t>培训活动，分享</w:t>
      </w:r>
      <w:r>
        <w:rPr>
          <w:rFonts w:hint="eastAsia" w:ascii="仿宋_GB2312" w:hAnsi="仿宋_GB2312" w:eastAsia="仿宋_GB2312" w:cs="仿宋_GB2312"/>
          <w:i w:val="0"/>
          <w:iCs w:val="0"/>
          <w:caps w:val="0"/>
          <w:color w:val="353535"/>
          <w:spacing w:val="0"/>
          <w:sz w:val="32"/>
          <w:szCs w:val="32"/>
          <w:shd w:val="clear" w:color="auto" w:fill="auto"/>
          <w:lang w:eastAsia="zh-CN"/>
        </w:rPr>
        <w:t>经营经验</w:t>
      </w:r>
      <w:r>
        <w:rPr>
          <w:rFonts w:hint="eastAsia" w:ascii="仿宋_GB2312" w:hAnsi="仿宋_GB2312" w:eastAsia="仿宋_GB2312" w:cs="仿宋_GB2312"/>
          <w:i w:val="0"/>
          <w:iCs w:val="0"/>
          <w:caps w:val="0"/>
          <w:color w:val="353535"/>
          <w:spacing w:val="0"/>
          <w:sz w:val="32"/>
          <w:szCs w:val="32"/>
          <w:shd w:val="clear" w:color="auto" w:fill="auto"/>
        </w:rPr>
        <w:t>。</w:t>
      </w:r>
    </w:p>
    <w:p w14:paraId="431D1E53">
      <w:pPr>
        <w:spacing w:line="600" w:lineRule="exact"/>
        <w:ind w:firstLine="680" w:firstLineChars="200"/>
        <w:jc w:val="left"/>
        <w:rPr>
          <w:rFonts w:hint="eastAsia" w:ascii="仿宋_GB2312" w:hAnsi="仿宋_GB2312" w:eastAsia="仿宋_GB2312" w:cs="仿宋_GB2312"/>
          <w:i w:val="0"/>
          <w:iCs w:val="0"/>
          <w:caps w:val="0"/>
          <w:color w:val="353535"/>
          <w:spacing w:val="0"/>
          <w:sz w:val="32"/>
          <w:szCs w:val="32"/>
          <w:shd w:val="clear" w:color="auto" w:fill="auto"/>
          <w:lang w:eastAsia="zh-CN"/>
        </w:rPr>
      </w:pPr>
      <w:r>
        <w:rPr>
          <w:rFonts w:hint="eastAsia" w:ascii="仿宋_GB2312" w:hAnsi="仿宋_GB2312" w:eastAsia="仿宋_GB2312" w:cs="仿宋_GB2312"/>
          <w:spacing w:val="10"/>
          <w:sz w:val="32"/>
          <w:szCs w:val="32"/>
        </w:rPr>
        <w:t>2.</w:t>
      </w:r>
      <w:r>
        <w:rPr>
          <w:rFonts w:hint="eastAsia" w:ascii="仿宋_GB2312" w:hAnsi="仿宋_GB2312" w:eastAsia="仿宋_GB2312" w:cs="仿宋_GB2312"/>
          <w:i w:val="0"/>
          <w:iCs w:val="0"/>
          <w:caps w:val="0"/>
          <w:color w:val="353535"/>
          <w:spacing w:val="0"/>
          <w:sz w:val="32"/>
          <w:szCs w:val="32"/>
          <w:shd w:val="clear" w:color="auto" w:fill="auto"/>
          <w:lang w:eastAsia="zh-CN"/>
        </w:rPr>
        <w:t>完善对民营经济发展支持政策，尤其是招商引资落地政策，扶持现有民营经济发展。</w:t>
      </w:r>
    </w:p>
    <w:p w14:paraId="6ECA9D53">
      <w:pPr>
        <w:spacing w:line="600" w:lineRule="exact"/>
        <w:ind w:firstLine="680" w:firstLineChars="200"/>
        <w:jc w:val="left"/>
      </w:pPr>
      <w:r>
        <w:rPr>
          <w:rFonts w:hint="eastAsia" w:ascii="仿宋_GB2312" w:hAnsi="仿宋_GB2312" w:eastAsia="仿宋_GB2312" w:cs="仿宋_GB2312"/>
          <w:spacing w:val="10"/>
          <w:sz w:val="32"/>
          <w:szCs w:val="32"/>
        </w:rPr>
        <w:t>3.</w:t>
      </w:r>
      <w:r>
        <w:rPr>
          <w:rFonts w:hint="eastAsia" w:ascii="仿宋_GB2312" w:hAnsi="仿宋_GB2312" w:eastAsia="仿宋_GB2312" w:cs="仿宋_GB2312"/>
          <w:i w:val="0"/>
          <w:iCs w:val="0"/>
          <w:caps w:val="0"/>
          <w:color w:val="353535"/>
          <w:spacing w:val="0"/>
          <w:sz w:val="32"/>
          <w:szCs w:val="32"/>
          <w:shd w:val="clear" w:color="auto" w:fill="auto"/>
        </w:rPr>
        <w:t>强化人才引进培育</w:t>
      </w:r>
      <w:r>
        <w:rPr>
          <w:rFonts w:hint="eastAsia" w:ascii="仿宋_GB2312" w:hAnsi="仿宋_GB2312" w:eastAsia="仿宋_GB2312" w:cs="仿宋_GB2312"/>
          <w:i w:val="0"/>
          <w:iCs w:val="0"/>
          <w:caps w:val="0"/>
          <w:color w:val="353535"/>
          <w:spacing w:val="0"/>
          <w:sz w:val="32"/>
          <w:szCs w:val="32"/>
          <w:shd w:val="clear" w:color="auto" w:fill="auto"/>
          <w:lang w:eastAsia="zh-CN"/>
        </w:rPr>
        <w:t>，进一步优化营商环境，招引更多民营企业和项目落地义马。</w:t>
      </w:r>
    </w:p>
    <w:p w14:paraId="19344DD7">
      <w:pPr>
        <w:spacing w:line="6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lang w:eastAsia="zh-CN"/>
        </w:rPr>
        <w:t>工信局、商务局、科协、组织部（人才办）</w:t>
      </w:r>
      <w:r>
        <w:rPr>
          <w:rFonts w:hint="eastAsia" w:ascii="黑体" w:hAnsi="黑体" w:eastAsia="黑体" w:cs="黑体"/>
          <w:bCs/>
          <w:sz w:val="32"/>
          <w:szCs w:val="32"/>
        </w:rPr>
        <w:t>办理情况：</w:t>
      </w:r>
    </w:p>
    <w:p w14:paraId="1C9847A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default" w:ascii="Times New Roman" w:hAnsi="Times New Roman" w:eastAsia="仿宋_GB2312" w:cs="Times New Roman"/>
          <w:color w:val="auto"/>
          <w:sz w:val="32"/>
          <w:szCs w:val="32"/>
          <w:lang w:eastAsia="zh-CN"/>
        </w:rPr>
        <w:t>近年来，</w:t>
      </w:r>
      <w:r>
        <w:rPr>
          <w:rFonts w:hint="eastAsia" w:eastAsia="仿宋_GB2312" w:cs="Times New Roman"/>
          <w:color w:val="auto"/>
          <w:sz w:val="32"/>
          <w:szCs w:val="32"/>
          <w:lang w:eastAsia="zh-CN"/>
        </w:rPr>
        <w:t>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eastAsia="zh-CN"/>
        </w:rPr>
        <w:t>坚持创新引领，强化主动服务，通过</w:t>
      </w:r>
      <w:r>
        <w:rPr>
          <w:rFonts w:hint="eastAsia" w:ascii="Times New Roman" w:hAnsi="Times New Roman" w:eastAsia="仿宋_GB2312" w:cs="Times New Roman"/>
          <w:color w:val="auto"/>
          <w:sz w:val="32"/>
          <w:szCs w:val="32"/>
          <w:lang w:eastAsia="zh-CN"/>
        </w:rPr>
        <w:t>建强机制、优化营商环境</w:t>
      </w:r>
      <w:r>
        <w:rPr>
          <w:rFonts w:hint="default" w:ascii="Times New Roman" w:hAnsi="Times New Roman" w:eastAsia="仿宋_GB2312" w:cs="Times New Roman"/>
          <w:color w:val="auto"/>
          <w:sz w:val="32"/>
          <w:szCs w:val="32"/>
          <w:lang w:eastAsia="zh-CN"/>
        </w:rPr>
        <w:t>等举措</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不断推动企业在转型升级和高质量发展上实现新突破。</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认真履行规划、协调、指导、服务职能，急企业之所急，想企业之所想，在</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服务企业</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优化工业企业营商环境方面做了大量工作。</w:t>
      </w:r>
      <w:r>
        <w:rPr>
          <w:rFonts w:hint="eastAsia" w:ascii="仿宋_GB2312" w:hAnsi="仿宋_GB2312" w:eastAsia="仿宋_GB2312" w:cs="仿宋_GB2312"/>
          <w:kern w:val="2"/>
          <w:sz w:val="32"/>
          <w:szCs w:val="32"/>
          <w:lang w:val="en-US" w:eastAsia="zh-CN" w:bidi="ar"/>
        </w:rPr>
        <w:t>以“万人助万企”活动为抓手，持续开展政策培训、需求征集、申报指导等活动，积极服务新质生产力发展。</w:t>
      </w:r>
    </w:p>
    <w:p w14:paraId="1557FEE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eastAsia="仿宋_GB2312" w:cs="Times New Roman"/>
          <w:color w:val="auto"/>
          <w:sz w:val="32"/>
          <w:szCs w:val="32"/>
          <w:lang w:val="en-US" w:eastAsia="zh-CN"/>
        </w:rPr>
        <w:t>2024年，</w:t>
      </w:r>
      <w:r>
        <w:rPr>
          <w:rFonts w:hint="eastAsia" w:ascii="Times New Roman" w:hAnsi="Times New Roman" w:eastAsia="仿宋_GB2312" w:cs="Times New Roman"/>
          <w:color w:val="auto"/>
          <w:sz w:val="32"/>
          <w:szCs w:val="32"/>
          <w:lang w:val="en-US" w:eastAsia="zh-CN"/>
        </w:rPr>
        <w:t>通过优化招商机制，建强招商队伍，提升招商服务，进一步招大育强，带动民营经济提质发展。</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通过政银企对接会这种形式，搭建了银行与企业合作的平台，促进经济与金融良性互动，</w:t>
      </w:r>
      <w:r>
        <w:rPr>
          <w:rFonts w:hint="eastAsia" w:ascii="仿宋_GB2312" w:hAnsi="仿宋_GB2312" w:eastAsia="仿宋_GB2312" w:cs="仿宋_GB2312"/>
          <w:sz w:val="32"/>
          <w:szCs w:val="32"/>
        </w:rPr>
        <w:t>切实落实高新技术企业所得税优惠政策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
          <w:sz w:val="32"/>
          <w:szCs w:val="32"/>
          <w:lang w:val="en-US" w:eastAsia="zh-CN" w:bidi="ar"/>
        </w:rPr>
        <w:t>充分发挥科技创新支撑引领和人才第一资源作用，推动产学研融通创新，为民营企业发展提供科技智力支撑。</w:t>
      </w:r>
    </w:p>
    <w:p w14:paraId="29CD7A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Times New Roman" w:hAnsi="Times New Roman" w:eastAsia="仿宋_GB2312" w:cs="Times New Roman"/>
          <w:color w:val="auto"/>
          <w:sz w:val="32"/>
          <w:szCs w:val="32"/>
          <w:lang w:val="en-US" w:eastAsia="zh-CN"/>
        </w:rPr>
        <w:t>优化营商环境</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提升招商质效</w:t>
      </w:r>
      <w:r>
        <w:rPr>
          <w:rFonts w:hint="eastAsia"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eastAsia="zh-CN"/>
        </w:rPr>
        <w:t>充分发挥协调服务职能，</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完善构建“引育用”全链条机制，积极营造人才引进培育的良好发展环境，</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发挥人才保障作用，优化人才发展生态。</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聚焦企业人才发展需求，完善构建“引育用”全链条机制，积极营造人才引进培育的良好发展环境，推进人才队伍建设纵深发展。</w:t>
      </w:r>
      <w:r>
        <w:rPr>
          <w:rFonts w:hint="default" w:ascii="Times New Roman" w:hAnsi="Times New Roman" w:eastAsia="仿宋_GB2312" w:cs="Times New Roman"/>
          <w:b/>
          <w:bCs/>
          <w:color w:val="000000" w:themeColor="text1"/>
          <w:sz w:val="32"/>
          <w:szCs w:val="40"/>
          <w:highlight w:val="none"/>
          <w:lang w:val="en-US" w:eastAsia="zh-CN"/>
          <w14:textFill>
            <w14:solidFill>
              <w14:schemeClr w14:val="tx1"/>
            </w14:solidFill>
          </w14:textFill>
        </w:rPr>
        <w:t>一是</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每年定期摸底全市企业人才需求，开展“春风行动”、民营企业专场等线上、线下系列招聘对接活动；引导中车重装、开祥化工等重点企业参加省第七届招才引智创新发展大会郑州、西安等系列专场招聘，达成合作意向330余人；成立化工新材料产业链专项引才专班，明确4个引才方向</w:t>
      </w:r>
      <w:r>
        <w:rPr>
          <w:rFonts w:hint="eastAsia"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5项重点任务，贯通“政产学研金服用”，推动产业链、创新链、资金链、人才链深度耦合。</w:t>
      </w:r>
      <w:r>
        <w:rPr>
          <w:rFonts w:hint="default" w:ascii="Times New Roman" w:hAnsi="Times New Roman" w:eastAsia="仿宋_GB2312" w:cs="Times New Roman"/>
          <w:b/>
          <w:bCs/>
          <w:color w:val="000000" w:themeColor="text1"/>
          <w:sz w:val="32"/>
          <w:szCs w:val="40"/>
          <w:highlight w:val="none"/>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命名义马市拔尖人才9人、第四届“义马大工匠”6名、“义马工匠”7名、“高素质技能人才”12名，组织我市优秀专家人才开展主题培训，落实医疗体检等待遇；在“义马党建”微信公众号开设“‘智汇古驿</w:t>
      </w:r>
      <w:r>
        <w:rPr>
          <w:rFonts w:hint="eastAsia"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人才风采展</w:t>
      </w:r>
      <w:r>
        <w:rPr>
          <w:rFonts w:hint="eastAsia"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、义马市拔尖人才、科技工作者、一周速览等系列专栏，集中展示各行业领域优秀人才及各项人才工作。</w:t>
      </w:r>
      <w:r>
        <w:rPr>
          <w:rFonts w:hint="default" w:ascii="Times New Roman" w:hAnsi="Times New Roman" w:eastAsia="仿宋_GB2312" w:cs="Times New Roman"/>
          <w:b/>
          <w:bCs/>
          <w:color w:val="000000" w:themeColor="text1"/>
          <w:sz w:val="32"/>
          <w:szCs w:val="40"/>
          <w:highlight w:val="none"/>
          <w:lang w:val="en-US" w:eastAsia="zh-CN"/>
          <w14:textFill>
            <w14:solidFill>
              <w14:schemeClr w14:val="tx1"/>
            </w14:solidFill>
          </w14:textFill>
        </w:rPr>
        <w:t>三是</w:t>
      </w:r>
      <w:r>
        <w:rPr>
          <w:rFonts w:hint="default" w:ascii="Times New Roman" w:hAnsi="Times New Roman" w:eastAsia="仿宋_GB2312" w:cs="Times New Roman"/>
          <w:b w:val="0"/>
          <w:bCs w:val="0"/>
          <w:color w:val="000000" w:themeColor="text1"/>
          <w:sz w:val="32"/>
          <w:szCs w:val="40"/>
          <w:highlight w:val="none"/>
          <w:lang w:val="en-US" w:eastAsia="zh-CN"/>
          <w14:textFill>
            <w14:solidFill>
              <w14:schemeClr w14:val="tx1"/>
            </w14:solidFill>
          </w14:textFill>
        </w:rPr>
        <w:t>印发《义马市高层次人才医疗保健实施细则》，积极联系我市高层次人才，推进医疗保健服务工作；完善青年人才公寓配套设施，完成“青年人才公寓”和“青年人才之家”挂牌和改造施工，增设会客厅、读书活动室，丰富照片墙、文化墙内容，改善青年人才居住环境；发放高校毕业生三项补贴，落实人才待遇，组织青年人才座谈会、联谊会等交流活动，及时倾听青年人才心声，了解人才诉求。</w:t>
      </w:r>
    </w:p>
    <w:p w14:paraId="2B86F57D">
      <w:pPr>
        <w:pStyle w:val="10"/>
        <w:spacing w:line="600" w:lineRule="exact"/>
        <w:ind w:firstLine="640"/>
        <w:rPr>
          <w:rFonts w:hint="eastAsia" w:ascii="黑体" w:hAnsi="黑体" w:eastAsia="黑体" w:cs="黑体"/>
          <w:bCs/>
          <w:sz w:val="32"/>
          <w:szCs w:val="32"/>
        </w:rPr>
      </w:pPr>
      <w:r>
        <w:rPr>
          <w:rFonts w:hint="eastAsia" w:ascii="黑体" w:hAnsi="黑体" w:eastAsia="黑体" w:cs="黑体"/>
          <w:bCs/>
          <w:sz w:val="32"/>
          <w:szCs w:val="32"/>
        </w:rPr>
        <w:t>落实情况：</w:t>
      </w:r>
    </w:p>
    <w:p w14:paraId="231A0AC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“万人助万企”活动扎实开展，涉企问题办理成效显著，帮助辖区企业和项目解决了一大批难点、堵点问题。</w:t>
      </w:r>
      <w:r>
        <w:rPr>
          <w:rFonts w:hint="eastAsia" w:ascii="仿宋_GB2312" w:hAnsi="仿宋_GB2312" w:eastAsia="仿宋_GB2312" w:cs="仿宋_GB2312"/>
          <w:b w:val="0"/>
          <w:bCs/>
          <w:kern w:val="2"/>
          <w:sz w:val="32"/>
          <w:szCs w:val="32"/>
          <w:lang w:val="en-US" w:eastAsia="zh-CN" w:bidi="ar"/>
        </w:rPr>
        <w:t>今年以来共拨付瑞辉、亿群、德道三家民营企业人才项目扶持资金72万元，各类科技惠企资金222.5万元。帮助义马市凤凰山生态农业专业合作社申请乡村振兴科技计划项目专项经费40万元。组织瑞辉新材料、德道新能源、亿群环保3家企业实施第四批高层次创新创业人才（团队）项目。</w:t>
      </w:r>
      <w:r>
        <w:rPr>
          <w:rFonts w:hint="eastAsia" w:ascii="仿宋_GB2312" w:hAnsi="仿宋_GB2312" w:eastAsia="仿宋_GB2312" w:cs="仿宋_GB2312"/>
          <w:color w:val="auto"/>
          <w:sz w:val="32"/>
          <w:szCs w:val="32"/>
        </w:rPr>
        <w:t>让以商招商、新生内生项目成为企业的自发意愿，形成从招商到发展，以发展促招商的良性循环。</w:t>
      </w:r>
    </w:p>
    <w:p w14:paraId="3E6F80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63889097">
      <w:pPr>
        <w:spacing w:line="600" w:lineRule="exact"/>
      </w:pPr>
    </w:p>
    <w:p w14:paraId="59862DB4">
      <w:pPr>
        <w:pStyle w:val="4"/>
        <w:ind w:left="0" w:leftChars="0" w:firstLine="0" w:firstLineChars="0"/>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00D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35DA51">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35DA51">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ZjI1MjNlYTY4ZWYxM2JmNDE4ZjUyMzdiODBkMmIifQ=="/>
  </w:docVars>
  <w:rsids>
    <w:rsidRoot w:val="00000000"/>
    <w:rsid w:val="00B52690"/>
    <w:rsid w:val="08A4506B"/>
    <w:rsid w:val="09675C10"/>
    <w:rsid w:val="1485626B"/>
    <w:rsid w:val="15260357"/>
    <w:rsid w:val="1F240CB5"/>
    <w:rsid w:val="235C2DCE"/>
    <w:rsid w:val="29604D96"/>
    <w:rsid w:val="29E152C1"/>
    <w:rsid w:val="485565B0"/>
    <w:rsid w:val="525A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cs="黑体"/>
      <w:szCs w:val="22"/>
    </w:rPr>
  </w:style>
  <w:style w:type="paragraph" w:styleId="3">
    <w:name w:val="Body Text Indent"/>
    <w:basedOn w:val="1"/>
    <w:next w:val="1"/>
    <w:qFormat/>
    <w:uiPriority w:val="0"/>
    <w:pPr>
      <w:tabs>
        <w:tab w:val="left" w:pos="720"/>
        <w:tab w:val="left" w:pos="900"/>
      </w:tabs>
      <w:ind w:firstLine="420" w:firstLineChars="200"/>
    </w:pPr>
  </w:style>
  <w:style w:type="paragraph" w:styleId="4">
    <w:name w:val="Body Text Indent 2"/>
    <w:basedOn w:val="1"/>
    <w:qFormat/>
    <w:uiPriority w:val="99"/>
    <w:pPr>
      <w:widowControl/>
      <w:suppressAutoHyphens/>
      <w:spacing w:after="120" w:line="480" w:lineRule="auto"/>
      <w:ind w:left="420" w:leftChars="200" w:firstLine="880" w:firstLineChars="200"/>
      <w:jc w:val="left"/>
    </w:pPr>
    <w:rPr>
      <w:rFonts w:ascii="Times New Roman" w:hAnsi="Times New Roman" w:eastAsia="宋体" w:cs="Times New Roman"/>
      <w:kern w:val="1"/>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2"/>
    <w:next w:val="7"/>
    <w:qFormat/>
    <w:uiPriority w:val="0"/>
    <w:pPr>
      <w:ind w:firstLine="420" w:firstLineChars="100"/>
    </w:pPr>
  </w:style>
  <w:style w:type="paragraph" w:styleId="7">
    <w:name w:val="Body Text First Indent 2"/>
    <w:basedOn w:val="3"/>
    <w:next w:val="6"/>
    <w:unhideWhenUsed/>
    <w:qFormat/>
    <w:uiPriority w:val="99"/>
  </w:style>
  <w:style w:type="paragraph" w:customStyle="1" w:styleId="10">
    <w:name w:val="样式 正文001 + 首行缩进:  2 字符1"/>
    <w:basedOn w:val="1"/>
    <w:qFormat/>
    <w:uiPriority w:val="0"/>
    <w:pPr>
      <w:spacing w:before="60" w:line="460" w:lineRule="exact"/>
      <w:ind w:firstLine="480" w:firstLineChars="200"/>
    </w:pPr>
    <w:rPr>
      <w:rFonts w:ascii="宋体" w:hAnsi="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5148</Words>
  <Characters>5245</Characters>
  <Lines>0</Lines>
  <Paragraphs>0</Paragraphs>
  <TotalTime>1</TotalTime>
  <ScaleCrop>false</ScaleCrop>
  <LinksUpToDate>false</LinksUpToDate>
  <CharactersWithSpaces>5798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2024-11-20T02:14:00Z</dcterms:created>
  <dc:creator>Administrator.MM-202201121549</dc:creator>
  <cp:lastModifiedBy> Double Q</cp:lastModifiedBy>
  <dcterms:modified xsi:type="dcterms:W3CDTF">2024-12-06T03:17:17Z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D08DC3FDFFD4497EBF95981541494900_12</vt:lpwstr>
  </property>
</Properties>
</file>