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21</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义马市疾病预防控制中心</w:t>
      </w: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w:t>
      </w:r>
      <w:r>
        <w:rPr>
          <w:rFonts w:hint="eastAsia" w:ascii="黑体" w:hAnsi="黑体" w:eastAsia="黑体" w:cs="黑体"/>
          <w:sz w:val="32"/>
          <w:szCs w:val="32"/>
          <w:lang w:val="en-US" w:eastAsia="zh-CN"/>
        </w:rPr>
        <w:t>年九</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义马市疾病预防控制中心</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hint="eastAsia" w:ascii="宋体" w:hAnsi="宋体" w:cs="黑体"/>
          <w:sz w:val="32"/>
          <w:szCs w:val="32"/>
        </w:rPr>
      </w:pPr>
      <w:r>
        <w:rPr>
          <w:rFonts w:hint="eastAsia" w:ascii="宋体" w:hAnsi="宋体" w:cs="黑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2021</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left"/>
        <w:rPr>
          <w:rFonts w:hint="eastAsia" w:ascii="黑体" w:hAnsi="黑体" w:eastAsia="黑体" w:cs="黑体"/>
          <w:color w:val="auto"/>
          <w:sz w:val="32"/>
          <w:szCs w:val="32"/>
          <w:highlight w:val="none"/>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both"/>
        <w:outlineLvl w:val="0"/>
        <w:rPr>
          <w:rFonts w:hint="eastAsia" w:ascii="黑体" w:hAnsi="黑体" w:eastAsia="黑体" w:cs="黑体"/>
          <w:color w:val="auto"/>
          <w:sz w:val="48"/>
          <w:szCs w:val="48"/>
          <w:highlight w:val="none"/>
        </w:rPr>
      </w:pPr>
    </w:p>
    <w:p>
      <w:pPr>
        <w:widowControl/>
        <w:numPr>
          <w:ilvl w:val="0"/>
          <w:numId w:val="2"/>
        </w:numPr>
        <w:jc w:val="center"/>
        <w:outlineLvl w:val="0"/>
        <w:rPr>
          <w:rFonts w:hint="eastAsia" w:ascii="黑体" w:hAnsi="黑体" w:eastAsia="黑体" w:cs="黑体"/>
          <w:color w:val="auto"/>
          <w:sz w:val="48"/>
          <w:szCs w:val="48"/>
          <w:highlight w:val="none"/>
          <w:lang w:val="en-US" w:eastAsia="zh-CN"/>
        </w:rPr>
      </w:pPr>
      <w:r>
        <w:rPr>
          <w:rFonts w:hint="eastAsia" w:ascii="黑体" w:hAnsi="黑体" w:eastAsia="黑体" w:cs="黑体"/>
          <w:color w:val="auto"/>
          <w:sz w:val="48"/>
          <w:szCs w:val="48"/>
          <w:highlight w:val="none"/>
          <w:lang w:val="en-US" w:eastAsia="zh-CN"/>
        </w:rPr>
        <w:t xml:space="preserve"> 义马市疾病预防控制中心</w:t>
      </w:r>
    </w:p>
    <w:p>
      <w:pPr>
        <w:widowControl/>
        <w:numPr>
          <w:ilvl w:val="0"/>
          <w:numId w:val="0"/>
        </w:numPr>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footerReference r:id="rId5" w:type="default"/>
          <w:footerReference r:id="rId6" w:type="even"/>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一、部门</w:t>
      </w:r>
      <w:r>
        <w:rPr>
          <w:rFonts w:hint="eastAsia" w:ascii="黑体" w:hAnsi="黑体" w:eastAsia="黑体" w:cs="黑体"/>
          <w:bCs/>
          <w:sz w:val="32"/>
          <w:szCs w:val="32"/>
        </w:rPr>
        <w:t>职责</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（一）完成上级下达的疾病预防控制任务，负责辖区内疾病预防控制具体工作的管理和落实；负责辖区内疫苗使用管理，组织实施免疫、消毒、控制病媒生物的危害；</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（二）负责辖区内突发公共卫生事件的监测调查与信息收集、报告，落实具体控制措施；</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（三）开展病原微生物常规检验和常见污染物的检验；</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（四）承担卫生行政部门委托的与卫生监督执法相关的检验检测任务；</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（五）指导辖区内医疗卫生机构、城市社区卫生组织和农村乡(镇)卫生院开展卫生防病工作，负责考核和评价，对从事疾病预防控制相关工作的人员进行培训；</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（六）负责疫情和公共卫生健康危害因素监测、报告，指导乡、村和有关部门收集、报告疫情；</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（七）开展卫生宣传教育与健康促进活动，普及卫生防病知识。</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义马市疾病预防控制中心</w:t>
      </w:r>
      <w:r>
        <w:rPr>
          <w:rFonts w:hint="eastAsia" w:ascii="仿宋_GB2312" w:hAnsi="仿宋_GB2312" w:eastAsia="仿宋_GB2312" w:cs="仿宋_GB2312"/>
          <w:color w:val="auto"/>
          <w:kern w:val="0"/>
          <w:sz w:val="32"/>
          <w:szCs w:val="32"/>
          <w:highlight w:val="none"/>
          <w:lang w:val="en-US" w:eastAsia="zh-CN"/>
        </w:rPr>
        <w:t>内设机构9个，包括：行管科、计免科、健教科、流病科、结防科、艾防科、检验科、慢病科、地病科。</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w:t>
      </w:r>
      <w:r>
        <w:rPr>
          <w:rFonts w:hint="eastAsia" w:ascii="仿宋_GB2312" w:hAnsi="仿宋_GB2312" w:eastAsia="仿宋_GB2312" w:cs="仿宋_GB2312"/>
          <w:kern w:val="0"/>
          <w:sz w:val="32"/>
          <w:szCs w:val="32"/>
        </w:rPr>
        <w:t>义马市疾病预防控制中心</w:t>
      </w:r>
      <w:r>
        <w:rPr>
          <w:rFonts w:hint="eastAsia" w:ascii="仿宋_GB2312" w:hAnsi="仿宋_GB2312" w:eastAsia="仿宋_GB2312" w:cs="仿宋_GB2312"/>
          <w:kern w:val="0"/>
          <w:sz w:val="32"/>
          <w:szCs w:val="32"/>
          <w:lang w:val="en-US" w:eastAsia="zh-CN"/>
        </w:rPr>
        <w:t>部门决算包括：本级决算。</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纳入本部门2020年度部门决算编制范围的单位共1个。</w:t>
      </w: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numPr>
          <w:ilvl w:val="0"/>
          <w:numId w:val="2"/>
        </w:numPr>
        <w:jc w:val="center"/>
        <w:outlineLvl w:val="0"/>
        <w:rPr>
          <w:rFonts w:hint="eastAsia" w:ascii="黑体" w:hAnsi="黑体" w:eastAsia="黑体" w:cs="黑体"/>
          <w:color w:val="auto"/>
          <w:sz w:val="48"/>
          <w:szCs w:val="48"/>
          <w:highlight w:val="none"/>
          <w:lang w:val="en-US" w:eastAsia="zh-CN"/>
        </w:rPr>
      </w:pPr>
      <w:r>
        <w:rPr>
          <w:rFonts w:hint="eastAsia" w:ascii="黑体" w:hAnsi="黑体" w:eastAsia="黑体" w:cs="黑体"/>
          <w:color w:val="auto"/>
          <w:sz w:val="48"/>
          <w:szCs w:val="48"/>
          <w:highlight w:val="none"/>
          <w:lang w:val="en-US" w:eastAsia="zh-CN"/>
        </w:rPr>
        <w:t xml:space="preserve">  2021年度部门决算表</w:t>
      </w:r>
    </w:p>
    <w:p>
      <w:pPr>
        <w:widowControl/>
        <w:ind w:firstLine="420" w:firstLineChars="200"/>
        <w:jc w:val="left"/>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720" w:num="1"/>
          <w:docGrid w:type="lines" w:linePitch="312" w:charSpace="0"/>
        </w:sectPr>
      </w:pPr>
      <w:r>
        <w:commentReference w:id="0"/>
      </w:r>
    </w:p>
    <w:tbl>
      <w:tblPr>
        <w:tblStyle w:val="4"/>
        <w:tblW w:w="13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63"/>
        <w:gridCol w:w="784"/>
        <w:gridCol w:w="1835"/>
        <w:gridCol w:w="4200"/>
        <w:gridCol w:w="784"/>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390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2021年</w:t>
            </w: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4463"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3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446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部门：义马市疾病预防控制中心</w:t>
            </w:r>
          </w:p>
        </w:tc>
        <w:tc>
          <w:tcPr>
            <w:tcW w:w="7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3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w:t>
            </w:r>
            <w:r>
              <w:rPr>
                <w:rFonts w:hint="eastAsia" w:ascii="宋体" w:hAnsi="宋体" w:cs="宋体"/>
                <w:i w:val="0"/>
                <w:iCs w:val="0"/>
                <w:color w:val="000000"/>
                <w:kern w:val="0"/>
                <w:sz w:val="20"/>
                <w:szCs w:val="20"/>
                <w:u w:val="none"/>
                <w:lang w:val="en-US" w:eastAsia="zh-CN" w:bidi="ar"/>
              </w:rPr>
              <w:t>万</w:t>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08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818"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8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83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84"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84"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3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9</w:t>
            </w: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29</w:t>
            </w: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83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83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4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84" w:type="dxa"/>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292</w:t>
            </w:r>
          </w:p>
        </w:tc>
        <w:tc>
          <w:tcPr>
            <w:tcW w:w="42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8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90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956"/>
        <w:gridCol w:w="1259"/>
        <w:gridCol w:w="1547"/>
        <w:gridCol w:w="584"/>
        <w:gridCol w:w="584"/>
        <w:gridCol w:w="584"/>
        <w:gridCol w:w="584"/>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2021年</w:t>
            </w: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1013"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101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部门：义马市疾病预防控制中心</w:t>
            </w:r>
          </w:p>
        </w:tc>
        <w:tc>
          <w:tcPr>
            <w:tcW w:w="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w:t>
            </w:r>
            <w:r>
              <w:rPr>
                <w:rFonts w:hint="eastAsia" w:ascii="宋体" w:hAnsi="宋体" w:cs="宋体"/>
                <w:i w:val="0"/>
                <w:iCs w:val="0"/>
                <w:color w:val="000000"/>
                <w:kern w:val="0"/>
                <w:sz w:val="20"/>
                <w:szCs w:val="20"/>
                <w:u w:val="none"/>
                <w:lang w:val="en-US" w:eastAsia="zh-CN" w:bidi="ar"/>
              </w:rPr>
              <w:t>万</w:t>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2509"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1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23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23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23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23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1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9"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329"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1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2509"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2509"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397</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29</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397</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29</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9</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9</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54</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54</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49</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49</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疾病预防控制机构</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8</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8</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25</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25</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.00</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1.00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1.00</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.51</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.51</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.51</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.51</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1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19.06</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19.06</w:t>
            </w: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956"/>
        <w:gridCol w:w="1498"/>
        <w:gridCol w:w="1559"/>
        <w:gridCol w:w="695"/>
        <w:gridCol w:w="695"/>
        <w:gridCol w:w="695"/>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2021年</w:t>
            </w: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00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00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部门：义马市疾病预防控制中心</w:t>
            </w:r>
          </w:p>
        </w:tc>
        <w:tc>
          <w:tcPr>
            <w:tcW w:w="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w:t>
            </w:r>
            <w:r>
              <w:rPr>
                <w:rFonts w:hint="eastAsia" w:ascii="宋体" w:hAnsi="宋体" w:cs="宋体"/>
                <w:i w:val="0"/>
                <w:iCs w:val="0"/>
                <w:color w:val="000000"/>
                <w:kern w:val="0"/>
                <w:sz w:val="20"/>
                <w:szCs w:val="20"/>
                <w:u w:val="none"/>
                <w:lang w:val="en-US" w:eastAsia="zh-CN" w:bidi="ar"/>
              </w:rPr>
              <w:t>万</w:t>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499"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6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6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6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5"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323"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2499"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6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2499"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397</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29</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397</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29</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9</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9</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54</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54</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49</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49</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疾病预防控制机构</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8</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8</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25</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25</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.00</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.00</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1.00</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1.00</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.51</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.51</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.51</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.51</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1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3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19.06</w:t>
            </w:r>
          </w:p>
        </w:tc>
        <w:tc>
          <w:tcPr>
            <w:tcW w:w="5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19.06</w:t>
            </w: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0"/>
        <w:gridCol w:w="473"/>
        <w:gridCol w:w="1488"/>
        <w:gridCol w:w="3300"/>
        <w:gridCol w:w="473"/>
        <w:gridCol w:w="1539"/>
        <w:gridCol w:w="1485"/>
        <w:gridCol w:w="978"/>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2021年</w:t>
            </w: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3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3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部门：义马市疾病预防控制中心</w:t>
            </w:r>
          </w:p>
        </w:tc>
        <w:tc>
          <w:tcPr>
            <w:tcW w:w="1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w:t>
            </w:r>
            <w:r>
              <w:rPr>
                <w:rFonts w:hint="eastAsia" w:ascii="宋体" w:hAnsi="宋体" w:cs="宋体"/>
                <w:i w:val="0"/>
                <w:iCs w:val="0"/>
                <w:color w:val="000000"/>
                <w:kern w:val="0"/>
                <w:sz w:val="20"/>
                <w:szCs w:val="20"/>
                <w:u w:val="none"/>
                <w:lang w:val="en-US" w:eastAsia="zh-CN" w:bidi="ar"/>
              </w:rPr>
              <w:t>万</w:t>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2"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77"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30"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2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16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43"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34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3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30"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2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3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7"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7"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9</w:t>
            </w: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5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w:t>
            </w:r>
          </w:p>
        </w:tc>
        <w:tc>
          <w:tcPr>
            <w:tcW w:w="5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w:t>
            </w: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5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.06</w:t>
            </w: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29</w:t>
            </w: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29</w:t>
            </w:r>
          </w:p>
        </w:tc>
        <w:tc>
          <w:tcPr>
            <w:tcW w:w="5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29</w:t>
            </w: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2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67" w:type="pct"/>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29</w:t>
            </w:r>
          </w:p>
        </w:tc>
        <w:tc>
          <w:tcPr>
            <w:tcW w:w="11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29</w:t>
            </w:r>
          </w:p>
        </w:tc>
        <w:tc>
          <w:tcPr>
            <w:tcW w:w="5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29</w:t>
            </w:r>
          </w:p>
        </w:tc>
        <w:tc>
          <w:tcPr>
            <w:tcW w:w="3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65"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34"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p>
      <w:pPr>
        <w:widowControl/>
        <w:jc w:val="left"/>
        <w:rPr>
          <w:rFonts w:hint="eastAsia" w:ascii="仿宋_GB2312" w:hAnsi="仿宋_GB2312" w:eastAsia="仿宋_GB2312" w:cs="仿宋_GB2312"/>
          <w:kern w:val="0"/>
          <w:sz w:val="32"/>
          <w:szCs w:val="32"/>
          <w:lang w:val="en-US" w:eastAsia="zh-CN"/>
        </w:rPr>
      </w:pPr>
    </w:p>
    <w:tbl>
      <w:tblPr>
        <w:tblStyle w:val="4"/>
        <w:tblW w:w="138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6"/>
        <w:gridCol w:w="222"/>
        <w:gridCol w:w="222"/>
        <w:gridCol w:w="3956"/>
        <w:gridCol w:w="1547"/>
        <w:gridCol w:w="1547"/>
        <w:gridCol w:w="3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887"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2021年</w:t>
            </w: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7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部门：义马市疾病预防控制中心</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7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w:t>
            </w:r>
            <w:r>
              <w:rPr>
                <w:rFonts w:hint="eastAsia" w:ascii="宋体" w:hAnsi="宋体" w:cs="宋体"/>
                <w:i w:val="0"/>
                <w:iCs w:val="0"/>
                <w:color w:val="000000"/>
                <w:kern w:val="0"/>
                <w:sz w:val="20"/>
                <w:szCs w:val="20"/>
                <w:u w:val="none"/>
                <w:lang w:val="en-US" w:eastAsia="zh-CN" w:bidi="ar"/>
              </w:rPr>
              <w:t>万</w:t>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41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471"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5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4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4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37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3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4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4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1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1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397</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29</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397</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29</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9</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9</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54</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54</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49</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49</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疾病预防控制机构</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8</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8</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25</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25</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.00</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1.00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1.00</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.51</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.51</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.51</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.51</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19.06</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19.06</w:t>
            </w:r>
          </w:p>
        </w:tc>
        <w:tc>
          <w:tcPr>
            <w:tcW w:w="33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87"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left"/>
        <w:rPr>
          <w:rFonts w:hint="eastAsia" w:ascii="仿宋_GB2312" w:hAnsi="仿宋_GB2312" w:eastAsia="仿宋_GB2312" w:cs="仿宋_GB2312"/>
          <w:kern w:val="0"/>
          <w:sz w:val="32"/>
          <w:szCs w:val="32"/>
          <w:lang w:val="en-US"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2854"/>
        <w:gridCol w:w="1273"/>
        <w:gridCol w:w="655"/>
        <w:gridCol w:w="1976"/>
        <w:gridCol w:w="1270"/>
        <w:gridCol w:w="655"/>
        <w:gridCol w:w="3394"/>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2021年</w:t>
            </w: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3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0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3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部门：义马市疾病预防控制中心</w:t>
            </w: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w:t>
            </w:r>
            <w:r>
              <w:rPr>
                <w:rFonts w:hint="eastAsia" w:ascii="宋体" w:hAnsi="宋体" w:cs="宋体"/>
                <w:i w:val="0"/>
                <w:iCs w:val="0"/>
                <w:color w:val="000000"/>
                <w:kern w:val="0"/>
                <w:sz w:val="18"/>
                <w:szCs w:val="18"/>
                <w:u w:val="none"/>
                <w:lang w:val="en-US" w:eastAsia="zh-CN" w:bidi="ar"/>
              </w:rPr>
              <w:t>万</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686"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313"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30"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00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4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6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4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1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30"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0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8</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3</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r>
              <w:rPr>
                <w:rFonts w:hint="eastAsia" w:ascii="宋体" w:hAnsi="宋体" w:cs="宋体"/>
                <w:i w:val="0"/>
                <w:iCs w:val="0"/>
                <w:color w:val="000000"/>
                <w:kern w:val="0"/>
                <w:sz w:val="22"/>
                <w:szCs w:val="22"/>
                <w:u w:val="none"/>
                <w:lang w:val="en-US" w:eastAsia="zh-CN" w:bidi="ar"/>
              </w:rPr>
              <w:t>.60</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86</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17</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83</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79</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97</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1</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5</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4</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.90</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1</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9</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80</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8</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6</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9</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9</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9</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0</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r>
              <w:rPr>
                <w:rFonts w:hint="eastAsia" w:ascii="宋体" w:hAnsi="宋体" w:cs="宋体"/>
                <w:i w:val="0"/>
                <w:iCs w:val="0"/>
                <w:color w:val="000000"/>
                <w:kern w:val="0"/>
                <w:sz w:val="22"/>
                <w:szCs w:val="22"/>
                <w:u w:val="none"/>
                <w:lang w:val="en-US" w:eastAsia="zh-CN" w:bidi="ar"/>
              </w:rPr>
              <w:t>.19</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w:t>
            </w: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w:t>
            </w:r>
          </w:p>
        </w:tc>
        <w:tc>
          <w:tcPr>
            <w:tcW w:w="231"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9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0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9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3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00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6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44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31"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9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37"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7</w:t>
            </w:r>
          </w:p>
        </w:tc>
        <w:tc>
          <w:tcPr>
            <w:tcW w:w="2804" w:type="pct"/>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5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widowControl/>
        <w:jc w:val="left"/>
        <w:rPr>
          <w:rFonts w:hint="eastAsia" w:ascii="仿宋_GB2312" w:hAnsi="仿宋_GB2312" w:eastAsia="仿宋_GB2312" w:cs="仿宋_GB2312"/>
          <w:kern w:val="0"/>
          <w:sz w:val="32"/>
          <w:szCs w:val="32"/>
          <w:lang w:val="en-US"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915"/>
        <w:gridCol w:w="1136"/>
        <w:gridCol w:w="442"/>
        <w:gridCol w:w="1136"/>
        <w:gridCol w:w="1142"/>
        <w:gridCol w:w="1137"/>
        <w:gridCol w:w="916"/>
        <w:gridCol w:w="1137"/>
        <w:gridCol w:w="443"/>
        <w:gridCol w:w="1137"/>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cs="宋体"/>
                <w:i w:val="0"/>
                <w:iCs w:val="0"/>
                <w:color w:val="000000"/>
                <w:kern w:val="0"/>
                <w:sz w:val="44"/>
                <w:szCs w:val="44"/>
                <w:u w:val="none"/>
                <w:lang w:val="en-US" w:eastAsia="zh-CN" w:bidi="ar"/>
              </w:rPr>
              <w:t>2021年</w:t>
            </w:r>
            <w:r>
              <w:rPr>
                <w:rFonts w:hint="eastAsia" w:ascii="宋体" w:hAnsi="宋体" w:eastAsia="宋体" w:cs="宋体"/>
                <w:i w:val="0"/>
                <w:iCs w:val="0"/>
                <w:color w:val="000000"/>
                <w:kern w:val="0"/>
                <w:sz w:val="44"/>
                <w:szCs w:val="44"/>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7"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部门：义马市疾病预防控制中心</w:t>
            </w:r>
          </w:p>
        </w:tc>
        <w:tc>
          <w:tcPr>
            <w:tcW w:w="3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w:t>
            </w:r>
            <w:r>
              <w:rPr>
                <w:rFonts w:hint="eastAsia" w:ascii="宋体" w:hAnsi="宋体" w:cs="宋体"/>
                <w:i w:val="0"/>
                <w:iCs w:val="0"/>
                <w:color w:val="000000"/>
                <w:kern w:val="0"/>
                <w:sz w:val="20"/>
                <w:szCs w:val="20"/>
                <w:u w:val="none"/>
                <w:lang w:val="en-US" w:eastAsia="zh-CN" w:bidi="ar"/>
              </w:rPr>
              <w:t>万</w:t>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766"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233"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07"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3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03"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3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03"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47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1007"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47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007"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60</w:t>
            </w:r>
          </w:p>
        </w:tc>
        <w:tc>
          <w:tcPr>
            <w:tcW w:w="3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w:t>
            </w: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0.50</w:t>
            </w: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60</w:t>
            </w:r>
          </w:p>
        </w:tc>
        <w:tc>
          <w:tcPr>
            <w:tcW w:w="3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w:t>
            </w:r>
          </w:p>
        </w:tc>
        <w:tc>
          <w:tcPr>
            <w:tcW w:w="4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widowControl/>
        <w:jc w:val="left"/>
        <w:rPr>
          <w:rFonts w:hint="eastAsia" w:ascii="仿宋_GB2312" w:hAnsi="仿宋_GB2312" w:eastAsia="仿宋_GB2312" w:cs="仿宋_GB2312"/>
          <w:kern w:val="0"/>
          <w:sz w:val="32"/>
          <w:szCs w:val="32"/>
          <w:lang w:val="en-US"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50"/>
        <w:gridCol w:w="275"/>
        <w:gridCol w:w="275"/>
        <w:gridCol w:w="1364"/>
        <w:gridCol w:w="1315"/>
        <w:gridCol w:w="1315"/>
        <w:gridCol w:w="1315"/>
        <w:gridCol w:w="1315"/>
        <w:gridCol w:w="1316"/>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2021年</w:t>
            </w: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23"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2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部门：义马市疾病预防控制中心</w:t>
            </w:r>
          </w:p>
        </w:tc>
        <w:tc>
          <w:tcPr>
            <w:tcW w:w="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w:t>
            </w:r>
            <w:r>
              <w:rPr>
                <w:rFonts w:hint="eastAsia" w:ascii="宋体" w:hAnsi="宋体" w:cs="宋体"/>
                <w:i w:val="0"/>
                <w:iCs w:val="0"/>
                <w:color w:val="000000"/>
                <w:kern w:val="0"/>
                <w:sz w:val="20"/>
                <w:szCs w:val="20"/>
                <w:u w:val="none"/>
                <w:lang w:val="en-US" w:eastAsia="zh-CN" w:bidi="ar"/>
              </w:rPr>
              <w:t>万</w:t>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98"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6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6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392"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68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7"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80"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6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6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6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8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80"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6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80"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6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9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9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w:t>
            </w: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w:t>
            </w: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w:t>
            </w: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w:t>
            </w: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w:t>
            </w:r>
          </w:p>
        </w:tc>
        <w:tc>
          <w:tcPr>
            <w:tcW w:w="68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widowControl/>
        <w:jc w:val="left"/>
        <w:rPr>
          <w:rFonts w:hint="default" w:ascii="仿宋_GB2312" w:hAnsi="仿宋_GB2312" w:eastAsia="仿宋_GB2312" w:cs="仿宋_GB2312"/>
          <w:kern w:val="0"/>
          <w:sz w:val="32"/>
          <w:szCs w:val="32"/>
          <w:lang w:val="en-US"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kern w:val="0"/>
          <w:sz w:val="32"/>
          <w:szCs w:val="32"/>
          <w:lang w:val="en-US" w:eastAsia="zh-CN"/>
        </w:rPr>
        <w:t>注：本单位此项预算。</w:t>
      </w: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widowControl/>
        <w:ind w:firstLine="640" w:firstLineChars="200"/>
        <w:jc w:val="left"/>
        <w:rPr>
          <w:rFonts w:hint="eastAsia" w:ascii="仿宋_GB2312" w:hAnsi="仿宋_GB2312" w:eastAsia="仿宋_GB2312" w:cs="仿宋_GB2312"/>
          <w:kern w:val="0"/>
          <w:sz w:val="32"/>
          <w:szCs w:val="32"/>
          <w:lang w:val="en-US" w:eastAsia="zh-CN"/>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2021年度部门决算情况说明</w:t>
      </w:r>
    </w:p>
    <w:p>
      <w:pPr>
        <w:widowControl/>
        <w:ind w:firstLine="640" w:firstLineChars="200"/>
        <w:jc w:val="left"/>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720" w:num="1"/>
          <w:docGrid w:type="lines" w:linePitch="312" w:charSpace="0"/>
        </w:sectPr>
      </w:pPr>
    </w:p>
    <w:p>
      <w:pPr>
        <w:spacing w:beforeLines="0" w:afterLines="0" w:line="590" w:lineRule="exact"/>
        <w:ind w:firstLine="640"/>
        <w:rPr>
          <w:rFonts w:hint="default" w:ascii="Times New Roman" w:hAnsi="Times New Roman" w:eastAsia="Times New Roman"/>
          <w:sz w:val="32"/>
          <w:szCs w:val="24"/>
        </w:rPr>
      </w:pPr>
      <w:r>
        <w:rPr>
          <w:rFonts w:hint="eastAsia" w:ascii="黑体" w:hAnsi="黑体" w:eastAsia="黑体"/>
          <w:sz w:val="32"/>
          <w:szCs w:val="24"/>
        </w:rPr>
        <w:t>一、收入支出决算总体情况说明</w:t>
      </w:r>
    </w:p>
    <w:p>
      <w:pPr>
        <w:spacing w:beforeLines="0" w:afterLines="0" w:line="590" w:lineRule="exact"/>
        <w:ind w:firstLine="640"/>
        <w:rPr>
          <w:rFonts w:hint="default" w:ascii="Times New Roman" w:hAnsi="Times New Roman" w:eastAsia="Times New Roman"/>
          <w:kern w:val="0"/>
          <w:sz w:val="18"/>
          <w:szCs w:val="24"/>
          <w:lang w:val="zh-CN"/>
        </w:rPr>
      </w:pPr>
      <w:r>
        <w:rPr>
          <w:rFonts w:hint="eastAsia" w:ascii="仿宋_GB2312" w:hAnsi="仿宋_GB2312" w:eastAsia="仿宋_GB2312"/>
          <w:sz w:val="32"/>
          <w:szCs w:val="24"/>
        </w:rPr>
        <w:t>2021年度收、支总计均为397.29万元。与上年度相比，收、支总计各减少305.55万元，下降43.47%。主要原因是</w:t>
      </w:r>
      <w:r>
        <w:rPr>
          <w:rFonts w:hint="eastAsia" w:ascii="仿宋_GB2312" w:hAnsi="仿宋_GB2312" w:eastAsia="仿宋_GB2312"/>
          <w:sz w:val="32"/>
          <w:szCs w:val="24"/>
          <w:lang w:val="en-US" w:eastAsia="zh-CN"/>
        </w:rPr>
        <w:t>2021年疫情防控经费减少</w:t>
      </w:r>
      <w:r>
        <w:rPr>
          <w:rFonts w:hint="eastAsia" w:ascii="仿宋_GB2312" w:hAnsi="仿宋_GB2312" w:eastAsia="仿宋_GB2312"/>
          <w:sz w:val="32"/>
          <w:szCs w:val="24"/>
        </w:rPr>
        <w:t>。</w:t>
      </w:r>
    </w:p>
    <w:p>
      <w:pPr>
        <w:spacing w:beforeLines="0" w:afterLines="0" w:line="590" w:lineRule="exact"/>
        <w:ind w:firstLine="640"/>
        <w:rPr>
          <w:rFonts w:hint="default" w:ascii="Times New Roman" w:hAnsi="Times New Roman" w:eastAsia="Times New Roman"/>
          <w:sz w:val="32"/>
          <w:szCs w:val="24"/>
          <w:lang w:val="en-US"/>
        </w:rPr>
      </w:pPr>
      <w:r>
        <w:rPr>
          <w:rFonts w:hint="eastAsia" w:ascii="黑体" w:hAnsi="黑体" w:eastAsia="黑体"/>
          <w:sz w:val="32"/>
          <w:szCs w:val="24"/>
          <w:lang w:val="en-US"/>
        </w:rPr>
        <w:t>二、收入决算情况说明</w:t>
      </w:r>
    </w:p>
    <w:p>
      <w:pPr>
        <w:spacing w:beforeLines="0" w:afterLines="0" w:line="590" w:lineRule="exact"/>
        <w:ind w:firstLine="640"/>
        <w:rPr>
          <w:rFonts w:hint="default" w:ascii="Times New Roman" w:hAnsi="Times New Roman" w:eastAsia="Times New Roman"/>
          <w:kern w:val="0"/>
          <w:sz w:val="18"/>
          <w:szCs w:val="24"/>
          <w:lang w:val="zh-CN"/>
        </w:rPr>
      </w:pPr>
      <w:r>
        <w:rPr>
          <w:rFonts w:hint="eastAsia" w:ascii="仿宋_GB2312" w:hAnsi="仿宋_GB2312" w:eastAsia="仿宋_GB2312"/>
          <w:sz w:val="32"/>
          <w:szCs w:val="24"/>
          <w:lang w:val="en-US"/>
        </w:rPr>
        <w:t>2021年度收入合计397.29万元，其中：财政拨款收入397.29万元，占100%；上级补助收入0万元，占0%；事业收入0万元，占0%；经营收入0万元，占0%；附属单位上缴收入0万元，占0%；其他收入0万元，占0%。</w:t>
      </w:r>
    </w:p>
    <w:p>
      <w:pPr>
        <w:spacing w:beforeLines="0" w:afterLines="0" w:line="590" w:lineRule="exact"/>
        <w:ind w:firstLine="640"/>
        <w:rPr>
          <w:rFonts w:hint="default" w:ascii="Times New Roman" w:hAnsi="Times New Roman" w:eastAsia="Times New Roman"/>
          <w:sz w:val="32"/>
          <w:szCs w:val="24"/>
          <w:lang w:val="en-US"/>
        </w:rPr>
      </w:pPr>
      <w:r>
        <w:rPr>
          <w:rFonts w:hint="eastAsia" w:ascii="黑体" w:hAnsi="黑体" w:eastAsia="黑体"/>
          <w:sz w:val="32"/>
          <w:szCs w:val="24"/>
          <w:lang w:val="en-US"/>
        </w:rPr>
        <w:t>三、支出决算情况说明</w:t>
      </w:r>
    </w:p>
    <w:p>
      <w:pPr>
        <w:spacing w:beforeLines="0" w:afterLines="0" w:line="590" w:lineRule="exact"/>
        <w:ind w:firstLine="640"/>
        <w:rPr>
          <w:rFonts w:hint="default" w:ascii="Times New Roman" w:hAnsi="Times New Roman" w:eastAsia="Times New Roman"/>
          <w:kern w:val="0"/>
          <w:sz w:val="18"/>
          <w:szCs w:val="24"/>
          <w:lang w:val="zh-CN"/>
        </w:rPr>
      </w:pPr>
      <w:r>
        <w:rPr>
          <w:rFonts w:hint="eastAsia" w:ascii="仿宋_GB2312" w:hAnsi="仿宋_GB2312" w:eastAsia="仿宋_GB2312"/>
          <w:sz w:val="32"/>
          <w:szCs w:val="24"/>
          <w:lang w:val="en-US"/>
        </w:rPr>
        <w:t>2021年度支出合计397.29万元，其中：基本支出397.29万元，占100%；项目支出0万元，占0%；上缴上级支出0万元，占0%；经营支出0万元，占0%；对附属单位补助支出0万元，占0%。</w:t>
      </w:r>
    </w:p>
    <w:p>
      <w:pPr>
        <w:spacing w:beforeLines="0" w:afterLines="0" w:line="590" w:lineRule="exact"/>
        <w:ind w:firstLine="640"/>
        <w:rPr>
          <w:rFonts w:hint="default" w:ascii="Times New Roman" w:hAnsi="Times New Roman" w:eastAsia="Times New Roman"/>
          <w:sz w:val="32"/>
          <w:szCs w:val="24"/>
          <w:lang w:val="en-US"/>
        </w:rPr>
      </w:pPr>
      <w:r>
        <w:rPr>
          <w:rFonts w:hint="eastAsia" w:ascii="黑体" w:hAnsi="黑体" w:eastAsia="黑体"/>
          <w:sz w:val="32"/>
          <w:szCs w:val="24"/>
          <w:lang w:val="en-US"/>
        </w:rPr>
        <w:t>四、财政拨款收入支出决算总体情况说明</w:t>
      </w:r>
    </w:p>
    <w:p>
      <w:pPr>
        <w:spacing w:beforeLines="0" w:afterLines="0" w:line="590" w:lineRule="exact"/>
        <w:ind w:firstLine="640"/>
        <w:rPr>
          <w:rFonts w:hint="default" w:ascii="Times New Roman" w:hAnsi="Times New Roman" w:eastAsia="Times New Roman"/>
          <w:kern w:val="0"/>
          <w:sz w:val="18"/>
          <w:szCs w:val="24"/>
          <w:lang w:val="zh-CN"/>
        </w:rPr>
      </w:pPr>
      <w:r>
        <w:rPr>
          <w:rFonts w:hint="eastAsia" w:ascii="仿宋_GB2312" w:hAnsi="仿宋_GB2312" w:eastAsia="仿宋_GB2312"/>
          <w:sz w:val="32"/>
          <w:szCs w:val="24"/>
          <w:lang w:val="en-US"/>
        </w:rPr>
        <w:t>2021年度财政拨款收、支总计均为397.29万元。与上年度相比，财政拨款收、支总计各减少305.55万元，下降43.47%。主要原因</w:t>
      </w:r>
      <w:r>
        <w:rPr>
          <w:rFonts w:hint="eastAsia" w:ascii="仿宋_GB2312" w:hAnsi="仿宋_GB2312" w:eastAsia="仿宋_GB2312"/>
          <w:sz w:val="32"/>
          <w:szCs w:val="24"/>
          <w:lang w:val="en-US" w:eastAsia="zh-CN"/>
        </w:rPr>
        <w:t>是疫情防控经费减少</w:t>
      </w:r>
      <w:r>
        <w:rPr>
          <w:rFonts w:hint="eastAsia" w:ascii="仿宋_GB2312" w:hAnsi="仿宋_GB2312" w:eastAsia="仿宋_GB2312"/>
          <w:sz w:val="32"/>
          <w:szCs w:val="24"/>
          <w:lang w:val="en-US"/>
        </w:rPr>
        <w:t>。</w:t>
      </w:r>
    </w:p>
    <w:p>
      <w:pPr>
        <w:spacing w:beforeLines="0" w:afterLines="0" w:line="590" w:lineRule="exact"/>
        <w:ind w:firstLine="640"/>
        <w:rPr>
          <w:rFonts w:hint="default" w:ascii="Times New Roman" w:hAnsi="Times New Roman" w:eastAsia="Times New Roman"/>
          <w:sz w:val="32"/>
          <w:szCs w:val="24"/>
          <w:lang w:val="en-US"/>
        </w:rPr>
      </w:pPr>
      <w:r>
        <w:rPr>
          <w:rFonts w:hint="eastAsia" w:ascii="黑体" w:hAnsi="黑体" w:eastAsia="黑体"/>
          <w:sz w:val="32"/>
          <w:szCs w:val="24"/>
          <w:lang w:val="en-US"/>
        </w:rPr>
        <w:t>五、一般公共预算财政拨款支出决算情况说明</w:t>
      </w:r>
    </w:p>
    <w:p>
      <w:pPr>
        <w:spacing w:beforeLines="0" w:afterLines="0" w:line="590" w:lineRule="exact"/>
        <w:ind w:firstLine="640"/>
        <w:rPr>
          <w:rFonts w:hint="default" w:ascii="Times New Roman" w:hAnsi="Times New Roman" w:eastAsia="Times New Roman"/>
          <w:b/>
          <w:sz w:val="32"/>
          <w:szCs w:val="24"/>
          <w:lang w:val="en-US"/>
        </w:rPr>
      </w:pPr>
      <w:r>
        <w:rPr>
          <w:rFonts w:hint="eastAsia" w:ascii="楷体_GB2312" w:hAnsi="楷体_GB2312" w:eastAsia="楷体_GB2312"/>
          <w:b/>
          <w:sz w:val="32"/>
          <w:szCs w:val="24"/>
          <w:lang w:val="en-US"/>
        </w:rPr>
        <w:t>（一）总体情况。</w:t>
      </w:r>
    </w:p>
    <w:p>
      <w:pPr>
        <w:spacing w:beforeLines="0" w:afterLines="0"/>
        <w:jc w:val="left"/>
        <w:rPr>
          <w:rFonts w:hint="eastAsia" w:ascii="宋体" w:hAnsi="宋体"/>
          <w:kern w:val="0"/>
          <w:sz w:val="18"/>
          <w:szCs w:val="24"/>
          <w:lang w:val="zh-CN"/>
        </w:rPr>
      </w:pPr>
      <w:r>
        <w:rPr>
          <w:rFonts w:hint="eastAsia" w:ascii="仿宋_GB2312" w:hAnsi="仿宋_GB2312" w:eastAsia="仿宋_GB2312"/>
          <w:sz w:val="32"/>
          <w:szCs w:val="24"/>
          <w:lang w:val="en-US"/>
        </w:rPr>
        <w:t xml:space="preserve">    2021年度一般公共预算财政拨款支出397.29万元，占支出合计的100%。与上年度相比，一般公共预算财政拨款支出减少5.55万元，</w:t>
      </w:r>
      <w:r>
        <w:rPr>
          <w:rFonts w:hint="eastAsia" w:ascii="仿宋_GB2312" w:hAnsi="仿宋_GB2312" w:eastAsia="仿宋_GB2312"/>
          <w:sz w:val="32"/>
          <w:szCs w:val="24"/>
          <w:lang w:val="en-US" w:eastAsia="zh-CN"/>
        </w:rPr>
        <w:t>下</w:t>
      </w:r>
      <w:r>
        <w:rPr>
          <w:rFonts w:hint="eastAsia" w:ascii="仿宋_GB2312" w:hAnsi="仿宋_GB2312" w:eastAsia="仿宋_GB2312"/>
          <w:sz w:val="32"/>
          <w:szCs w:val="24"/>
          <w:lang w:val="en-US"/>
        </w:rPr>
        <w:t>降1.38%。主要原因是</w:t>
      </w:r>
      <w:r>
        <w:rPr>
          <w:rFonts w:hint="eastAsia" w:ascii="仿宋_GB2312" w:hAnsi="仿宋_GB2312" w:eastAsia="仿宋_GB2312"/>
          <w:sz w:val="32"/>
          <w:szCs w:val="24"/>
          <w:lang w:val="en-US" w:eastAsia="zh-CN"/>
        </w:rPr>
        <w:t>人员经费减少</w:t>
      </w:r>
      <w:r>
        <w:rPr>
          <w:rFonts w:hint="eastAsia" w:ascii="仿宋_GB2312" w:hAnsi="仿宋_GB2312" w:eastAsia="仿宋_GB2312"/>
          <w:sz w:val="32"/>
          <w:szCs w:val="24"/>
          <w:lang w:val="en-US"/>
        </w:rPr>
        <w:t>。</w:t>
      </w:r>
    </w:p>
    <w:p>
      <w:pPr>
        <w:spacing w:beforeLines="0" w:afterLines="0" w:line="590" w:lineRule="exact"/>
        <w:ind w:firstLine="640"/>
        <w:rPr>
          <w:rFonts w:hint="default" w:ascii="Times New Roman" w:hAnsi="Times New Roman" w:eastAsia="Times New Roman"/>
          <w:b/>
          <w:sz w:val="32"/>
          <w:szCs w:val="24"/>
          <w:lang w:val="en-US"/>
        </w:rPr>
      </w:pPr>
      <w:r>
        <w:rPr>
          <w:rFonts w:hint="eastAsia" w:ascii="楷体_GB2312" w:hAnsi="楷体_GB2312" w:eastAsia="楷体_GB2312"/>
          <w:b/>
          <w:sz w:val="32"/>
          <w:szCs w:val="24"/>
          <w:lang w:val="en-US"/>
        </w:rPr>
        <w:t>（二）结构情况。</w:t>
      </w:r>
    </w:p>
    <w:p>
      <w:pPr>
        <w:spacing w:beforeLines="0" w:afterLines="0" w:line="590" w:lineRule="exact"/>
        <w:ind w:firstLine="64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rPr>
        <w:t>2021年度一般公共预算财政拨款支出397.29万元，主要用于以下方面：人员经费</w:t>
      </w:r>
      <w:r>
        <w:rPr>
          <w:rFonts w:hint="eastAsia" w:ascii="仿宋_GB2312" w:hAnsi="仿宋_GB2312" w:eastAsia="仿宋_GB2312"/>
          <w:sz w:val="32"/>
          <w:szCs w:val="24"/>
          <w:lang w:val="en-US" w:eastAsia="zh-CN"/>
        </w:rPr>
        <w:t>284.97</w:t>
      </w:r>
      <w:r>
        <w:rPr>
          <w:rFonts w:hint="eastAsia" w:ascii="仿宋_GB2312" w:hAnsi="仿宋_GB2312" w:eastAsia="仿宋_GB2312"/>
          <w:sz w:val="32"/>
          <w:szCs w:val="24"/>
          <w:lang w:val="en-US"/>
        </w:rPr>
        <w:t>万元，</w:t>
      </w:r>
      <w:r>
        <w:rPr>
          <w:rFonts w:hint="eastAsia" w:ascii="仿宋_GB2312" w:hAnsi="仿宋_GB2312" w:eastAsia="仿宋_GB2312"/>
          <w:sz w:val="32"/>
          <w:szCs w:val="24"/>
          <w:lang w:val="en-US" w:eastAsia="zh-CN"/>
        </w:rPr>
        <w:t>占71.74%，</w:t>
      </w:r>
      <w:r>
        <w:rPr>
          <w:rFonts w:hint="eastAsia" w:ascii="仿宋_GB2312" w:hAnsi="仿宋_GB2312" w:eastAsia="仿宋_GB2312"/>
          <w:sz w:val="32"/>
          <w:szCs w:val="24"/>
          <w:lang w:val="en-US"/>
        </w:rPr>
        <w:t>主要包括：基本工资、津贴补贴、奖金、社会保障缴费、伙食补助费、绩效工资、其他工资福利支出、离休费、退休费、退职（役）费、抚恤金、生活补助、 医疗费、助学金、奖励金、住房公积金、提租补贴、购房补贴、其他对个人和家庭的补助支出；基本公共卫生服务</w:t>
      </w:r>
      <w:r>
        <w:rPr>
          <w:rFonts w:hint="eastAsia" w:ascii="仿宋_GB2312" w:hAnsi="仿宋_GB2312" w:eastAsia="仿宋_GB2312"/>
          <w:sz w:val="32"/>
          <w:szCs w:val="24"/>
          <w:lang w:val="en-US" w:eastAsia="zh-CN"/>
        </w:rPr>
        <w:t>8.08</w:t>
      </w:r>
      <w:r>
        <w:rPr>
          <w:rFonts w:hint="eastAsia" w:ascii="仿宋_GB2312" w:hAnsi="仿宋_GB2312" w:eastAsia="仿宋_GB2312"/>
          <w:sz w:val="32"/>
          <w:szCs w:val="24"/>
          <w:lang w:val="en-US"/>
        </w:rPr>
        <w:t>万元，</w:t>
      </w:r>
      <w:r>
        <w:rPr>
          <w:rFonts w:hint="eastAsia" w:ascii="仿宋_GB2312" w:hAnsi="仿宋_GB2312" w:eastAsia="仿宋_GB2312"/>
          <w:sz w:val="32"/>
          <w:szCs w:val="24"/>
          <w:lang w:val="en-US" w:eastAsia="zh-CN"/>
        </w:rPr>
        <w:t>占2%；重大公共卫生服务0.24万元，占0.07%，突发公共卫生事件应急处理3万元，占0.76 %，其他公共卫生支出101万元，占 25.43 %，</w:t>
      </w:r>
      <w:r>
        <w:rPr>
          <w:rFonts w:hint="eastAsia" w:ascii="仿宋_GB2312" w:hAnsi="仿宋_GB2312" w:eastAsia="仿宋_GB2312"/>
          <w:sz w:val="32"/>
          <w:szCs w:val="24"/>
          <w:lang w:val="en-US"/>
        </w:rPr>
        <w:t>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r>
        <w:rPr>
          <w:rFonts w:hint="eastAsia" w:ascii="仿宋_GB2312" w:hAnsi="仿宋_GB2312" w:eastAsia="仿宋_GB2312"/>
          <w:sz w:val="32"/>
          <w:szCs w:val="24"/>
          <w:lang w:val="en-US" w:eastAsia="zh-CN"/>
        </w:rPr>
        <w:t xml:space="preserve"> </w:t>
      </w:r>
    </w:p>
    <w:p>
      <w:pPr>
        <w:spacing w:beforeLines="0" w:afterLines="0" w:line="590" w:lineRule="exact"/>
        <w:ind w:firstLine="640"/>
        <w:rPr>
          <w:rFonts w:hint="default" w:ascii="Times New Roman" w:hAnsi="Times New Roman" w:eastAsia="Times New Roman"/>
          <w:b/>
          <w:sz w:val="32"/>
          <w:szCs w:val="24"/>
          <w:lang w:val="en-US"/>
        </w:rPr>
      </w:pPr>
      <w:r>
        <w:rPr>
          <w:rFonts w:hint="eastAsia" w:ascii="楷体_GB2312" w:hAnsi="楷体_GB2312" w:eastAsia="楷体_GB2312"/>
          <w:b/>
          <w:sz w:val="32"/>
          <w:szCs w:val="24"/>
          <w:lang w:val="en-US"/>
        </w:rPr>
        <w:t>（三）具体情况。</w:t>
      </w:r>
    </w:p>
    <w:p>
      <w:pPr>
        <w:spacing w:beforeLines="0" w:afterLines="0" w:line="590" w:lineRule="exact"/>
        <w:ind w:firstLine="640"/>
        <w:rPr>
          <w:rFonts w:hint="default" w:ascii="Times New Roman" w:hAnsi="Times New Roman" w:eastAsia="Times New Roman"/>
          <w:sz w:val="32"/>
          <w:szCs w:val="24"/>
          <w:lang w:val="en-US"/>
        </w:rPr>
      </w:pPr>
      <w:r>
        <w:rPr>
          <w:rFonts w:hint="eastAsia" w:ascii="仿宋_GB2312" w:hAnsi="仿宋_GB2312" w:eastAsia="仿宋_GB2312"/>
          <w:sz w:val="32"/>
          <w:szCs w:val="24"/>
          <w:lang w:val="en-US"/>
        </w:rPr>
        <w:t>2021年度一般公共预算财政拨款支出年初预算为442.69万元，支出决算为397.29万元，完成年初预算的89.75%。其中：</w:t>
      </w:r>
    </w:p>
    <w:p>
      <w:pPr>
        <w:spacing w:beforeLines="0" w:afterLines="0"/>
        <w:ind w:firstLine="640" w:firstLineChars="200"/>
        <w:jc w:val="left"/>
        <w:rPr>
          <w:rFonts w:hint="eastAsia" w:ascii="宋体" w:hAnsi="宋体"/>
          <w:sz w:val="32"/>
          <w:szCs w:val="32"/>
          <w:lang w:val="zh-CN"/>
        </w:rPr>
      </w:pPr>
      <w:r>
        <w:rPr>
          <w:rFonts w:hint="eastAsia" w:ascii="宋体" w:hAnsi="宋体"/>
          <w:sz w:val="32"/>
          <w:szCs w:val="32"/>
          <w:lang w:val="zh-CN"/>
        </w:rPr>
        <w:t>1．</w:t>
      </w:r>
      <w:r>
        <w:rPr>
          <w:rFonts w:hint="eastAsia" w:ascii="仿宋_GB2312" w:hAnsi="仿宋_GB2312" w:eastAsia="仿宋_GB2312" w:cs="仿宋_GB2312"/>
          <w:b/>
          <w:bCs/>
          <w:color w:val="auto"/>
          <w:sz w:val="32"/>
          <w:szCs w:val="32"/>
          <w:highlight w:val="none"/>
          <w:lang w:val="en-US" w:eastAsia="zh-CN"/>
        </w:rPr>
        <w:t>医疗卫生与计划生育支出（类）公共卫生（款）疾病预防控制机构（项）</w:t>
      </w:r>
      <w:r>
        <w:rPr>
          <w:rFonts w:hint="eastAsia" w:ascii="宋体" w:hAnsi="宋体"/>
          <w:sz w:val="32"/>
          <w:szCs w:val="32"/>
          <w:lang w:val="zh-CN"/>
        </w:rPr>
        <w:t>。年初预算为</w:t>
      </w:r>
      <w:r>
        <w:rPr>
          <w:rFonts w:hint="eastAsia" w:ascii="宋体" w:hAnsi="宋体"/>
          <w:sz w:val="32"/>
          <w:szCs w:val="32"/>
          <w:lang w:val="en-US" w:eastAsia="zh-CN"/>
        </w:rPr>
        <w:t>332.83</w:t>
      </w:r>
      <w:r>
        <w:rPr>
          <w:rFonts w:hint="eastAsia" w:ascii="宋体" w:hAnsi="宋体"/>
          <w:sz w:val="32"/>
          <w:szCs w:val="32"/>
          <w:lang w:val="zh-CN"/>
        </w:rPr>
        <w:t>万元，支出决算为</w:t>
      </w:r>
      <w:r>
        <w:rPr>
          <w:rFonts w:hint="eastAsia" w:ascii="宋体" w:hAnsi="宋体"/>
          <w:sz w:val="32"/>
          <w:szCs w:val="32"/>
          <w:lang w:val="en-US" w:eastAsia="zh-CN"/>
        </w:rPr>
        <w:t>222.16</w:t>
      </w:r>
      <w:r>
        <w:rPr>
          <w:rFonts w:hint="eastAsia" w:ascii="宋体" w:hAnsi="宋体"/>
          <w:sz w:val="32"/>
          <w:szCs w:val="32"/>
          <w:lang w:val="zh-CN"/>
        </w:rPr>
        <w:t>万元，完成年初预算的</w:t>
      </w:r>
      <w:r>
        <w:rPr>
          <w:rFonts w:hint="eastAsia" w:ascii="宋体" w:hAnsi="宋体"/>
          <w:sz w:val="32"/>
          <w:szCs w:val="32"/>
          <w:lang w:val="en-US" w:eastAsia="zh-CN"/>
        </w:rPr>
        <w:t>66.75</w:t>
      </w:r>
      <w:r>
        <w:rPr>
          <w:rFonts w:hint="eastAsia" w:ascii="宋体" w:hAnsi="宋体"/>
          <w:sz w:val="32"/>
          <w:szCs w:val="32"/>
          <w:lang w:val="zh-CN"/>
        </w:rPr>
        <w:t>%。决算数与年初预算数存在差异的主要原因是</w:t>
      </w:r>
      <w:r>
        <w:rPr>
          <w:rFonts w:hint="eastAsia" w:ascii="宋体" w:hAnsi="宋体"/>
          <w:sz w:val="32"/>
          <w:szCs w:val="32"/>
          <w:lang w:val="en-US" w:eastAsia="zh-CN"/>
        </w:rPr>
        <w:t>2021年疫情防控经费减少</w:t>
      </w:r>
      <w:r>
        <w:rPr>
          <w:rFonts w:hint="eastAsia" w:ascii="宋体" w:hAnsi="宋体"/>
          <w:sz w:val="32"/>
          <w:szCs w:val="32"/>
          <w:lang w:val="zh-CN"/>
        </w:rPr>
        <w:t>。</w:t>
      </w:r>
    </w:p>
    <w:p>
      <w:pPr>
        <w:spacing w:beforeLines="0" w:afterLines="0"/>
        <w:ind w:firstLine="640" w:firstLineChars="200"/>
        <w:jc w:val="left"/>
        <w:rPr>
          <w:rFonts w:hint="eastAsia" w:ascii="宋体" w:hAnsi="宋体"/>
          <w:sz w:val="32"/>
          <w:szCs w:val="32"/>
          <w:lang w:val="zh-CN"/>
        </w:rPr>
      </w:pPr>
      <w:r>
        <w:rPr>
          <w:rFonts w:hint="eastAsia" w:ascii="宋体" w:hAnsi="宋体"/>
          <w:sz w:val="32"/>
          <w:szCs w:val="32"/>
          <w:lang w:val="zh-CN"/>
        </w:rPr>
        <w:t>2．</w:t>
      </w:r>
      <w:r>
        <w:rPr>
          <w:rFonts w:hint="eastAsia" w:ascii="仿宋_GB2312" w:hAnsi="仿宋_GB2312" w:eastAsia="仿宋_GB2312" w:cs="仿宋_GB2312"/>
          <w:b/>
          <w:bCs/>
          <w:color w:val="auto"/>
          <w:sz w:val="32"/>
          <w:szCs w:val="32"/>
          <w:highlight w:val="none"/>
          <w:lang w:val="en-US" w:eastAsia="zh-CN"/>
        </w:rPr>
        <w:t>医疗卫生与计划生育支出（类）公共卫生（款）基本公共卫生服务（项）</w:t>
      </w:r>
      <w:r>
        <w:rPr>
          <w:rFonts w:hint="eastAsia" w:ascii="宋体" w:hAnsi="宋体"/>
          <w:sz w:val="32"/>
          <w:szCs w:val="32"/>
          <w:lang w:val="zh-CN"/>
        </w:rPr>
        <w:t>。年初预算为</w:t>
      </w:r>
      <w:r>
        <w:rPr>
          <w:rFonts w:hint="eastAsia" w:ascii="宋体" w:hAnsi="宋体"/>
          <w:sz w:val="32"/>
          <w:szCs w:val="32"/>
          <w:lang w:val="en-US" w:eastAsia="zh-CN"/>
        </w:rPr>
        <w:t>27</w:t>
      </w:r>
      <w:r>
        <w:rPr>
          <w:rFonts w:hint="eastAsia" w:ascii="宋体" w:hAnsi="宋体"/>
          <w:sz w:val="32"/>
          <w:szCs w:val="32"/>
          <w:lang w:val="zh-CN"/>
        </w:rPr>
        <w:t>万元，支出决算为</w:t>
      </w:r>
      <w:r>
        <w:rPr>
          <w:rFonts w:hint="eastAsia" w:ascii="宋体" w:hAnsi="宋体"/>
          <w:sz w:val="32"/>
          <w:szCs w:val="32"/>
          <w:lang w:val="en-US" w:eastAsia="zh-CN"/>
        </w:rPr>
        <w:t>8.08</w:t>
      </w:r>
      <w:r>
        <w:rPr>
          <w:rFonts w:hint="eastAsia" w:ascii="宋体" w:hAnsi="宋体"/>
          <w:sz w:val="32"/>
          <w:szCs w:val="32"/>
          <w:lang w:val="zh-CN"/>
        </w:rPr>
        <w:t>万元，完成年初预算的</w:t>
      </w:r>
      <w:r>
        <w:rPr>
          <w:rFonts w:hint="eastAsia" w:ascii="宋体" w:hAnsi="宋体"/>
          <w:sz w:val="32"/>
          <w:szCs w:val="32"/>
          <w:lang w:val="en-US" w:eastAsia="zh-CN"/>
        </w:rPr>
        <w:t>29.93</w:t>
      </w:r>
      <w:r>
        <w:rPr>
          <w:rFonts w:hint="eastAsia" w:ascii="宋体" w:hAnsi="宋体"/>
          <w:sz w:val="32"/>
          <w:szCs w:val="32"/>
          <w:lang w:val="zh-CN"/>
        </w:rPr>
        <w:t>%。决算数与年初预算数存在差异的主要原因是</w:t>
      </w:r>
      <w:r>
        <w:rPr>
          <w:rFonts w:hint="eastAsia" w:ascii="宋体" w:hAnsi="宋体" w:cstheme="minorBidi"/>
          <w:sz w:val="32"/>
          <w:szCs w:val="32"/>
          <w:lang w:val="en-US" w:eastAsia="zh-CN"/>
        </w:rPr>
        <w:t>业务开支减少</w:t>
      </w:r>
      <w:r>
        <w:rPr>
          <w:rFonts w:hint="eastAsia" w:ascii="宋体" w:hAnsi="宋体"/>
          <w:sz w:val="32"/>
          <w:szCs w:val="32"/>
          <w:lang w:val="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宋体" w:hAnsi="宋体"/>
          <w:sz w:val="32"/>
          <w:szCs w:val="32"/>
          <w:lang w:val="en-US" w:eastAsia="zh-CN"/>
        </w:rPr>
        <w:t>3、</w:t>
      </w:r>
      <w:r>
        <w:rPr>
          <w:rFonts w:hint="eastAsia" w:ascii="仿宋_GB2312" w:hAnsi="仿宋_GB2312" w:eastAsia="仿宋_GB2312" w:cs="仿宋_GB2312"/>
          <w:b/>
          <w:bCs/>
          <w:color w:val="auto"/>
          <w:sz w:val="32"/>
          <w:szCs w:val="32"/>
          <w:highlight w:val="none"/>
          <w:lang w:val="en-US" w:eastAsia="zh-CN"/>
        </w:rPr>
        <w:t>医疗卫生与计划生育支出（类）公共卫生（款）重大公共卫生专项（项）。</w:t>
      </w:r>
      <w:r>
        <w:rPr>
          <w:rFonts w:hint="eastAsia" w:ascii="仿宋_GB2312" w:hAnsi="仿宋_GB2312" w:eastAsia="仿宋_GB2312" w:cs="仿宋_GB2312"/>
          <w:color w:val="auto"/>
          <w:sz w:val="32"/>
          <w:szCs w:val="32"/>
          <w:highlight w:val="none"/>
          <w:lang w:val="en-US" w:eastAsia="zh-CN"/>
        </w:rPr>
        <w:t>年初预算为8 万元，支出决算为0.26万元，完成年初预算的3.25%。决算数与年初预算数存在差异的主要原因是2021年重大公共卫生经费拨付较少。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4．医疗卫生与计划生育支出（类）行政事业单位医疗（款）职工基本医疗保险缴费（项）</w:t>
      </w:r>
      <w:bookmarkStart w:id="0" w:name="_GoBack"/>
      <w:bookmarkEnd w:id="0"/>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年初预算为14.02万元，支出决算为10.51万元，完成年初预算的74.96%。决算数与年初预算数存在差异的主要原因是人员</w:t>
      </w:r>
      <w:r>
        <w:rPr>
          <w:rFonts w:hint="default"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经费</w:t>
      </w:r>
      <w:r>
        <w:rPr>
          <w:rFonts w:hint="default" w:ascii="仿宋_GB2312" w:hAnsi="仿宋_GB2312" w:eastAsia="仿宋_GB2312" w:cs="仿宋_GB2312"/>
          <w:color w:val="auto"/>
          <w:sz w:val="32"/>
          <w:szCs w:val="32"/>
          <w:highlight w:val="none"/>
          <w:lang w:eastAsia="zh-CN"/>
        </w:rPr>
        <w:t>下降</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5．住房保障支出（类）住房改革支出（款）住房公积金（项）。</w:t>
      </w:r>
      <w:r>
        <w:rPr>
          <w:rFonts w:hint="eastAsia" w:ascii="仿宋_GB2312" w:hAnsi="仿宋_GB2312" w:eastAsia="仿宋_GB2312" w:cs="仿宋_GB2312"/>
          <w:color w:val="auto"/>
          <w:sz w:val="32"/>
          <w:szCs w:val="32"/>
          <w:highlight w:val="none"/>
          <w:lang w:val="en-US" w:eastAsia="zh-CN"/>
        </w:rPr>
        <w:t>年初预算为</w:t>
      </w:r>
      <w:r>
        <w:rPr>
          <w:rFonts w:hint="eastAsia" w:ascii="仿宋_GB2312" w:hAnsi="宋体" w:eastAsia="仿宋_GB2312" w:cs="Courier New"/>
          <w:sz w:val="32"/>
          <w:szCs w:val="32"/>
          <w:lang w:val="en-US" w:eastAsia="zh-CN"/>
        </w:rPr>
        <w:t>22.21</w:t>
      </w:r>
      <w:r>
        <w:rPr>
          <w:rFonts w:hint="eastAsia" w:ascii="仿宋_GB2312" w:hAnsi="仿宋_GB2312" w:eastAsia="仿宋_GB2312" w:cs="仿宋_GB2312"/>
          <w:color w:val="auto"/>
          <w:sz w:val="32"/>
          <w:szCs w:val="32"/>
          <w:highlight w:val="none"/>
          <w:lang w:val="en-US" w:eastAsia="zh-CN"/>
        </w:rPr>
        <w:t>万元，支出决算为19.06 万元，完成年初预算的85.82%。决算数与年初预算数存在差异的主要原因是人员减少经费下降。</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6．社会保障和就业支出（类）行政事业单位离退休（款）  事业单位离退休（项）。</w:t>
      </w:r>
      <w:r>
        <w:rPr>
          <w:rFonts w:hint="eastAsia" w:ascii="仿宋_GB2312" w:hAnsi="仿宋_GB2312" w:eastAsia="仿宋_GB2312" w:cs="仿宋_GB2312"/>
          <w:color w:val="auto"/>
          <w:sz w:val="32"/>
          <w:szCs w:val="32"/>
          <w:highlight w:val="none"/>
          <w:lang w:val="en-US" w:eastAsia="zh-CN"/>
        </w:rPr>
        <w:t>年初预算为10.56 万元，支出决算为10.68万元，完成年初预算的101 %。决算数与年初预算数存在差异的主要原因是2021年退休职工增加1人经费增加。</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宋体" w:hAnsi="宋体"/>
          <w:sz w:val="32"/>
          <w:szCs w:val="32"/>
          <w:lang w:val="zh-CN"/>
        </w:rPr>
      </w:pPr>
      <w:r>
        <w:rPr>
          <w:rFonts w:hint="eastAsia" w:ascii="仿宋_GB2312" w:hAnsi="仿宋_GB2312" w:eastAsia="仿宋_GB2312" w:cs="仿宋_GB2312"/>
          <w:b/>
          <w:bCs/>
          <w:color w:val="auto"/>
          <w:sz w:val="32"/>
          <w:szCs w:val="32"/>
          <w:highlight w:val="none"/>
          <w:lang w:val="en-US" w:eastAsia="zh-CN"/>
        </w:rPr>
        <w:t>7．社会保障和就业支出（类）行政事业单位离退休（款）    机关事业单位基本养老保险缴费支出（项）。</w:t>
      </w:r>
      <w:r>
        <w:rPr>
          <w:rFonts w:hint="eastAsia" w:ascii="仿宋_GB2312" w:hAnsi="仿宋_GB2312" w:eastAsia="仿宋_GB2312" w:cs="仿宋_GB2312"/>
          <w:color w:val="auto"/>
          <w:sz w:val="32"/>
          <w:szCs w:val="32"/>
          <w:highlight w:val="none"/>
          <w:lang w:val="en-US" w:eastAsia="zh-CN"/>
        </w:rPr>
        <w:t>年初预算为</w:t>
      </w:r>
      <w:r>
        <w:rPr>
          <w:rFonts w:hint="eastAsia" w:ascii="仿宋_GB2312" w:hAnsi="宋体" w:eastAsia="仿宋_GB2312" w:cs="Courier New"/>
          <w:sz w:val="32"/>
          <w:szCs w:val="32"/>
          <w:lang w:val="en-US" w:eastAsia="zh-CN"/>
        </w:rPr>
        <w:t>28.04</w:t>
      </w:r>
      <w:r>
        <w:rPr>
          <w:rFonts w:hint="eastAsia" w:ascii="仿宋_GB2312" w:hAnsi="仿宋_GB2312" w:eastAsia="仿宋_GB2312" w:cs="仿宋_GB2312"/>
          <w:color w:val="auto"/>
          <w:sz w:val="32"/>
          <w:szCs w:val="32"/>
          <w:highlight w:val="none"/>
          <w:lang w:val="en-US" w:eastAsia="zh-CN"/>
        </w:rPr>
        <w:t xml:space="preserve"> 万元，支出决算为22.54万元，完成年初预算的80.39%。决算数与年初预算数存在差异的主要原因是人员减少经费下降。</w:t>
      </w:r>
    </w:p>
    <w:p>
      <w:pPr>
        <w:spacing w:beforeLines="0" w:afterLines="0" w:line="590" w:lineRule="exact"/>
        <w:ind w:firstLine="640"/>
        <w:rPr>
          <w:rFonts w:hint="default" w:ascii="Times New Roman" w:hAnsi="Times New Roman" w:eastAsia="Times New Roman"/>
          <w:sz w:val="32"/>
          <w:szCs w:val="24"/>
          <w:lang w:val="en-US"/>
        </w:rPr>
      </w:pPr>
      <w:r>
        <w:rPr>
          <w:rFonts w:hint="eastAsia" w:ascii="黑体" w:hAnsi="黑体" w:eastAsia="黑体"/>
          <w:sz w:val="32"/>
          <w:szCs w:val="24"/>
          <w:lang w:val="en-US"/>
        </w:rPr>
        <w:t>六、一般公共预算财政拨款基本支出决算情况说明</w:t>
      </w:r>
    </w:p>
    <w:p>
      <w:pPr>
        <w:spacing w:beforeLines="0" w:afterLines="0" w:line="590" w:lineRule="exact"/>
        <w:ind w:firstLine="64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rPr>
        <w:t>2021年度一般公共预算财政拨款基本支出397.29万元。其中：人员经费284.97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112.33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commentRangeStart w:id="1"/>
      <w:r>
        <w:rPr>
          <w:rFonts w:hint="eastAsia" w:ascii="仿宋_GB2312" w:hAnsi="仿宋_GB2312" w:eastAsia="仿宋_GB2312"/>
          <w:sz w:val="32"/>
          <w:szCs w:val="24"/>
          <w:lang w:val="en-US"/>
        </w:rPr>
        <w:t>2021年度一般公共预算财政拨款支出397.29万元，与上年度相比，一般公共预算财政拨款支出减少5.55万元，</w:t>
      </w:r>
      <w:r>
        <w:rPr>
          <w:rFonts w:hint="eastAsia" w:ascii="仿宋_GB2312" w:hAnsi="仿宋_GB2312" w:eastAsia="仿宋_GB2312"/>
          <w:sz w:val="32"/>
          <w:szCs w:val="24"/>
          <w:lang w:val="en-US" w:eastAsia="zh-CN"/>
        </w:rPr>
        <w:t>下</w:t>
      </w:r>
      <w:r>
        <w:rPr>
          <w:rFonts w:hint="eastAsia" w:ascii="仿宋_GB2312" w:hAnsi="仿宋_GB2312" w:eastAsia="仿宋_GB2312"/>
          <w:sz w:val="32"/>
          <w:szCs w:val="24"/>
          <w:lang w:val="en-US"/>
        </w:rPr>
        <w:t>降1.3%。主要原因是</w:t>
      </w:r>
      <w:r>
        <w:rPr>
          <w:rFonts w:hint="eastAsia" w:ascii="仿宋_GB2312" w:hAnsi="仿宋_GB2312" w:eastAsia="仿宋_GB2312"/>
          <w:sz w:val="32"/>
          <w:szCs w:val="24"/>
          <w:lang w:val="en-US" w:eastAsia="zh-CN"/>
        </w:rPr>
        <w:t>人员经费减少</w:t>
      </w:r>
      <w:commentRangeEnd w:id="1"/>
      <w:r>
        <w:commentReference w:id="1"/>
      </w:r>
      <w:r>
        <w:rPr>
          <w:rFonts w:hint="eastAsia" w:ascii="仿宋_GB2312" w:hAnsi="仿宋_GB2312" w:eastAsia="仿宋_GB2312"/>
          <w:sz w:val="32"/>
          <w:szCs w:val="24"/>
          <w:lang w:val="en-US" w:eastAsia="zh-CN"/>
        </w:rPr>
        <w:t>。</w:t>
      </w:r>
    </w:p>
    <w:p>
      <w:pPr>
        <w:spacing w:beforeLines="0" w:afterLines="0" w:line="590" w:lineRule="exact"/>
        <w:ind w:firstLine="640"/>
        <w:rPr>
          <w:rFonts w:hint="default" w:ascii="Times New Roman" w:hAnsi="Times New Roman" w:eastAsia="Times New Roman"/>
          <w:sz w:val="32"/>
          <w:szCs w:val="24"/>
          <w:lang w:val="en-US"/>
        </w:rPr>
      </w:pPr>
      <w:r>
        <w:rPr>
          <w:rFonts w:hint="eastAsia" w:ascii="黑体" w:hAnsi="黑体" w:eastAsia="黑体"/>
          <w:sz w:val="32"/>
          <w:szCs w:val="24"/>
          <w:lang w:val="en-US"/>
        </w:rPr>
        <w:t>七、一般公共预算财政拨款</w:t>
      </w:r>
      <w:r>
        <w:rPr>
          <w:rFonts w:hint="default" w:ascii="Times New Roman" w:hAnsi="Times New Roman" w:eastAsia="Times New Roman"/>
          <w:sz w:val="32"/>
          <w:szCs w:val="24"/>
          <w:lang w:val="en-US"/>
        </w:rPr>
        <w:t>“</w:t>
      </w:r>
      <w:r>
        <w:rPr>
          <w:rFonts w:hint="eastAsia" w:ascii="黑体" w:hAnsi="黑体" w:eastAsia="黑体"/>
          <w:sz w:val="32"/>
          <w:szCs w:val="24"/>
          <w:lang w:val="en-US"/>
        </w:rPr>
        <w:t>三公</w:t>
      </w:r>
      <w:r>
        <w:rPr>
          <w:rFonts w:hint="default" w:ascii="Times New Roman" w:hAnsi="Times New Roman" w:eastAsia="Times New Roman"/>
          <w:sz w:val="32"/>
          <w:szCs w:val="24"/>
          <w:lang w:val="en-US"/>
        </w:rPr>
        <w:t>”</w:t>
      </w:r>
      <w:r>
        <w:rPr>
          <w:rFonts w:hint="eastAsia" w:ascii="黑体" w:hAnsi="黑体" w:eastAsia="黑体"/>
          <w:sz w:val="32"/>
          <w:szCs w:val="24"/>
          <w:lang w:val="en-US"/>
        </w:rPr>
        <w:t>经费支出决算情况说明</w:t>
      </w:r>
    </w:p>
    <w:p>
      <w:pPr>
        <w:spacing w:beforeLines="0" w:afterLines="0" w:line="590" w:lineRule="exact"/>
        <w:ind w:firstLine="640"/>
        <w:rPr>
          <w:rFonts w:hint="default" w:ascii="Times New Roman" w:hAnsi="Times New Roman" w:eastAsia="Times New Roman"/>
          <w:b/>
          <w:sz w:val="32"/>
          <w:szCs w:val="24"/>
          <w:lang w:val="en-US"/>
        </w:rPr>
      </w:pPr>
      <w:r>
        <w:rPr>
          <w:rFonts w:hint="eastAsia" w:ascii="楷体_GB2312" w:hAnsi="楷体_GB2312" w:eastAsia="楷体_GB2312"/>
          <w:b/>
          <w:sz w:val="32"/>
          <w:szCs w:val="24"/>
          <w:lang w:val="en-US"/>
        </w:rPr>
        <w:t>（一）</w:t>
      </w:r>
      <w:r>
        <w:rPr>
          <w:rFonts w:hint="default" w:ascii="Times New Roman" w:hAnsi="Times New Roman" w:eastAsia="Times New Roman"/>
          <w:b/>
          <w:sz w:val="32"/>
          <w:szCs w:val="24"/>
          <w:lang w:val="en-US"/>
        </w:rPr>
        <w:t>“</w:t>
      </w:r>
      <w:r>
        <w:rPr>
          <w:rFonts w:hint="eastAsia" w:ascii="楷体_GB2312" w:hAnsi="楷体_GB2312" w:eastAsia="楷体_GB2312"/>
          <w:b/>
          <w:sz w:val="32"/>
          <w:szCs w:val="24"/>
          <w:lang w:val="en-US"/>
        </w:rPr>
        <w:t>三公</w:t>
      </w:r>
      <w:r>
        <w:rPr>
          <w:rFonts w:hint="default" w:ascii="Times New Roman" w:hAnsi="Times New Roman" w:eastAsia="Times New Roman"/>
          <w:b/>
          <w:sz w:val="32"/>
          <w:szCs w:val="24"/>
          <w:lang w:val="en-US"/>
        </w:rPr>
        <w:t>”</w:t>
      </w:r>
      <w:r>
        <w:rPr>
          <w:rFonts w:hint="eastAsia" w:ascii="楷体_GB2312" w:hAnsi="楷体_GB2312" w:eastAsia="楷体_GB2312"/>
          <w:b/>
          <w:sz w:val="32"/>
          <w:szCs w:val="24"/>
          <w:lang w:val="en-US"/>
        </w:rPr>
        <w:t>经费财政拨款支出决算总体情况说明。</w:t>
      </w:r>
    </w:p>
    <w:p>
      <w:pPr>
        <w:spacing w:beforeLines="0" w:afterLines="0" w:line="590" w:lineRule="exact"/>
        <w:ind w:firstLine="640"/>
        <w:rPr>
          <w:rFonts w:hint="default" w:ascii="Times New Roman" w:hAnsi="Times New Roman" w:eastAsia="Times New Roman"/>
          <w:kern w:val="0"/>
          <w:sz w:val="18"/>
          <w:szCs w:val="24"/>
          <w:lang w:val="zh-CN"/>
        </w:rPr>
      </w:pPr>
      <w:r>
        <w:rPr>
          <w:rFonts w:hint="eastAsia" w:ascii="仿宋_GB2312" w:hAnsi="仿宋_GB2312" w:eastAsia="仿宋_GB2312"/>
          <w:sz w:val="32"/>
          <w:szCs w:val="24"/>
          <w:lang w:val="en-US"/>
        </w:rPr>
        <w:t>2021年度</w:t>
      </w:r>
      <w:r>
        <w:rPr>
          <w:rFonts w:hint="default" w:ascii="Times New Roman" w:hAnsi="Times New Roman" w:eastAsia="Times New Roman"/>
          <w:sz w:val="32"/>
          <w:szCs w:val="24"/>
          <w:lang w:val="en-US"/>
        </w:rPr>
        <w:t>“</w:t>
      </w:r>
      <w:r>
        <w:rPr>
          <w:rFonts w:hint="eastAsia" w:ascii="仿宋_GB2312" w:hAnsi="仿宋_GB2312" w:eastAsia="仿宋_GB2312"/>
          <w:sz w:val="32"/>
          <w:szCs w:val="24"/>
          <w:lang w:val="en-US"/>
        </w:rPr>
        <w:t>三公</w:t>
      </w:r>
      <w:r>
        <w:rPr>
          <w:rFonts w:hint="default" w:ascii="Times New Roman" w:hAnsi="Times New Roman" w:eastAsia="Times New Roman"/>
          <w:sz w:val="32"/>
          <w:szCs w:val="24"/>
          <w:lang w:val="en-US"/>
        </w:rPr>
        <w:t>”</w:t>
      </w:r>
      <w:r>
        <w:rPr>
          <w:rFonts w:hint="eastAsia" w:ascii="仿宋_GB2312" w:hAnsi="仿宋_GB2312" w:eastAsia="仿宋_GB2312"/>
          <w:sz w:val="32"/>
          <w:szCs w:val="24"/>
          <w:lang w:val="en-US"/>
        </w:rPr>
        <w:t>经费财政拨款支出预算为1.6万元，支出决算为1.6万元，完成预算的100%。2021年度</w:t>
      </w:r>
      <w:r>
        <w:rPr>
          <w:rFonts w:hint="default" w:ascii="Times New Roman" w:hAnsi="Times New Roman" w:eastAsia="Times New Roman"/>
          <w:sz w:val="32"/>
          <w:szCs w:val="24"/>
          <w:lang w:val="en-US"/>
        </w:rPr>
        <w:t>“</w:t>
      </w:r>
      <w:r>
        <w:rPr>
          <w:rFonts w:hint="eastAsia" w:ascii="仿宋_GB2312" w:hAnsi="仿宋_GB2312" w:eastAsia="仿宋_GB2312"/>
          <w:sz w:val="32"/>
          <w:szCs w:val="24"/>
          <w:lang w:val="en-US"/>
        </w:rPr>
        <w:t>三公</w:t>
      </w:r>
      <w:r>
        <w:rPr>
          <w:rFonts w:hint="default" w:ascii="Times New Roman" w:hAnsi="Times New Roman" w:eastAsia="Times New Roman"/>
          <w:sz w:val="32"/>
          <w:szCs w:val="24"/>
          <w:lang w:val="en-US"/>
        </w:rPr>
        <w:t>”</w:t>
      </w:r>
      <w:r>
        <w:rPr>
          <w:rFonts w:hint="eastAsia" w:ascii="仿宋_GB2312" w:hAnsi="仿宋_GB2312" w:eastAsia="仿宋_GB2312"/>
          <w:sz w:val="32"/>
          <w:szCs w:val="24"/>
          <w:lang w:val="en-US"/>
        </w:rPr>
        <w:t>经费支出决算数与预算数</w:t>
      </w:r>
      <w:r>
        <w:rPr>
          <w:rFonts w:hint="eastAsia" w:ascii="仿宋_GB2312" w:hAnsi="仿宋_GB2312" w:eastAsia="仿宋_GB2312"/>
          <w:sz w:val="32"/>
          <w:szCs w:val="24"/>
          <w:lang w:val="en-US" w:eastAsia="zh-CN"/>
        </w:rPr>
        <w:t>无差异</w:t>
      </w:r>
      <w:r>
        <w:rPr>
          <w:rFonts w:hint="eastAsia" w:ascii="仿宋_GB2312" w:hAnsi="仿宋_GB2312" w:eastAsia="仿宋_GB2312"/>
          <w:sz w:val="32"/>
          <w:szCs w:val="24"/>
          <w:lang w:val="en-US"/>
        </w:rPr>
        <w:t>。</w:t>
      </w:r>
    </w:p>
    <w:p>
      <w:pPr>
        <w:spacing w:beforeLines="0" w:afterLines="0" w:line="590" w:lineRule="exact"/>
        <w:ind w:firstLine="640"/>
        <w:rPr>
          <w:rFonts w:hint="default" w:ascii="Times New Roman" w:hAnsi="Times New Roman" w:eastAsia="Times New Roman"/>
          <w:b/>
          <w:sz w:val="32"/>
          <w:szCs w:val="24"/>
          <w:lang w:val="en-US"/>
        </w:rPr>
      </w:pPr>
      <w:r>
        <w:rPr>
          <w:rFonts w:hint="eastAsia" w:ascii="楷体_GB2312" w:hAnsi="楷体_GB2312" w:eastAsia="楷体_GB2312"/>
          <w:b/>
          <w:sz w:val="32"/>
          <w:szCs w:val="24"/>
          <w:lang w:val="en-US"/>
        </w:rPr>
        <w:t>（二）</w:t>
      </w:r>
      <w:r>
        <w:rPr>
          <w:rFonts w:hint="default" w:ascii="Times New Roman" w:hAnsi="Times New Roman" w:eastAsia="Times New Roman"/>
          <w:b/>
          <w:sz w:val="32"/>
          <w:szCs w:val="24"/>
          <w:lang w:val="en-US"/>
        </w:rPr>
        <w:t>“</w:t>
      </w:r>
      <w:r>
        <w:rPr>
          <w:rFonts w:hint="eastAsia" w:ascii="楷体_GB2312" w:hAnsi="楷体_GB2312" w:eastAsia="楷体_GB2312"/>
          <w:b/>
          <w:sz w:val="32"/>
          <w:szCs w:val="24"/>
          <w:lang w:val="en-US"/>
        </w:rPr>
        <w:t>三公</w:t>
      </w:r>
      <w:r>
        <w:rPr>
          <w:rFonts w:hint="default" w:ascii="Times New Roman" w:hAnsi="Times New Roman" w:eastAsia="Times New Roman"/>
          <w:b/>
          <w:sz w:val="32"/>
          <w:szCs w:val="24"/>
          <w:lang w:val="en-US"/>
        </w:rPr>
        <w:t>”</w:t>
      </w:r>
      <w:r>
        <w:rPr>
          <w:rFonts w:hint="eastAsia" w:ascii="楷体_GB2312" w:hAnsi="楷体_GB2312" w:eastAsia="楷体_GB2312"/>
          <w:b/>
          <w:sz w:val="32"/>
          <w:szCs w:val="24"/>
          <w:lang w:val="en-US"/>
        </w:rPr>
        <w:t>经费财政拨款支出决算具体情况说明。</w:t>
      </w:r>
    </w:p>
    <w:p>
      <w:pPr>
        <w:spacing w:beforeLines="0" w:afterLines="0" w:line="590" w:lineRule="exact"/>
        <w:ind w:firstLine="640"/>
        <w:rPr>
          <w:rFonts w:hint="default" w:ascii="Times New Roman" w:hAnsi="Times New Roman" w:eastAsia="Times New Roman"/>
          <w:kern w:val="0"/>
          <w:sz w:val="18"/>
          <w:szCs w:val="24"/>
          <w:lang w:val="en-US"/>
        </w:rPr>
      </w:pPr>
      <w:r>
        <w:rPr>
          <w:rFonts w:hint="eastAsia" w:ascii="仿宋_GB2312" w:hAnsi="仿宋_GB2312" w:eastAsia="仿宋_GB2312"/>
          <w:sz w:val="32"/>
          <w:szCs w:val="24"/>
          <w:lang w:val="en-US"/>
        </w:rPr>
        <w:t>2021年度</w:t>
      </w:r>
      <w:r>
        <w:rPr>
          <w:rFonts w:hint="default" w:ascii="Times New Roman" w:hAnsi="Times New Roman" w:eastAsia="Times New Roman"/>
          <w:sz w:val="32"/>
          <w:szCs w:val="24"/>
          <w:lang w:val="en-US"/>
        </w:rPr>
        <w:t>“</w:t>
      </w:r>
      <w:r>
        <w:rPr>
          <w:rFonts w:hint="eastAsia" w:ascii="仿宋_GB2312" w:hAnsi="仿宋_GB2312" w:eastAsia="仿宋_GB2312"/>
          <w:sz w:val="32"/>
          <w:szCs w:val="24"/>
          <w:lang w:val="en-US"/>
        </w:rPr>
        <w:t>三公</w:t>
      </w:r>
      <w:r>
        <w:rPr>
          <w:rFonts w:hint="default" w:ascii="Times New Roman" w:hAnsi="Times New Roman" w:eastAsia="Times New Roman"/>
          <w:sz w:val="32"/>
          <w:szCs w:val="24"/>
          <w:lang w:val="en-US"/>
        </w:rPr>
        <w:t>”</w:t>
      </w:r>
      <w:r>
        <w:rPr>
          <w:rFonts w:hint="eastAsia" w:ascii="仿宋_GB2312" w:hAnsi="仿宋_GB2312" w:eastAsia="仿宋_GB2312"/>
          <w:sz w:val="32"/>
          <w:szCs w:val="24"/>
          <w:lang w:val="en-US"/>
        </w:rPr>
        <w:t>经费财政拨款支出决算中，因公出国（境）费支出决算0万元，完成预算的0%，占0%；公务用车购置及运行费支出决算1.1万元，完成预算的100%，占68.75%；公务接待费支出决算0.5万元，完成预算的100%，占31.25%；具体情况如下：</w:t>
      </w:r>
    </w:p>
    <w:p>
      <w:pPr>
        <w:spacing w:beforeLines="0" w:afterLines="0" w:line="590" w:lineRule="exact"/>
        <w:ind w:firstLine="640"/>
        <w:rPr>
          <w:rFonts w:hint="default" w:ascii="Times New Roman" w:hAnsi="Times New Roman" w:eastAsia="Times New Roman"/>
          <w:kern w:val="0"/>
          <w:sz w:val="18"/>
          <w:szCs w:val="24"/>
          <w:lang w:val="zh-CN"/>
        </w:rPr>
      </w:pPr>
      <w:r>
        <w:rPr>
          <w:rFonts w:hint="eastAsia" w:ascii="仿宋_GB2312" w:hAnsi="仿宋_GB2312" w:eastAsia="仿宋_GB2312"/>
          <w:b/>
          <w:sz w:val="32"/>
          <w:szCs w:val="24"/>
          <w:lang w:val="en-US"/>
        </w:rPr>
        <w:t>1．因公出国（境）费</w:t>
      </w:r>
      <w:r>
        <w:rPr>
          <w:rFonts w:hint="eastAsia" w:ascii="仿宋_GB2312" w:hAnsi="仿宋_GB2312" w:eastAsia="仿宋_GB2312"/>
          <w:sz w:val="32"/>
          <w:szCs w:val="24"/>
          <w:lang w:val="en-US"/>
        </w:rPr>
        <w:t>年初预算为0万元，支出决算为0万元，完成年初预算的0%，决算数与年初预算数存在差异的主要原因是</w:t>
      </w:r>
      <w:r>
        <w:rPr>
          <w:rFonts w:hint="eastAsia" w:ascii="仿宋_GB2312" w:hAnsi="仿宋_GB2312" w:eastAsia="仿宋_GB2312"/>
          <w:sz w:val="32"/>
          <w:szCs w:val="24"/>
          <w:lang w:val="en-US" w:eastAsia="zh-CN"/>
        </w:rPr>
        <w:t>2022年没有因公出国业务，</w:t>
      </w:r>
      <w:r>
        <w:rPr>
          <w:rFonts w:hint="eastAsia" w:ascii="仿宋_GB2312" w:hAnsi="仿宋_GB2312" w:eastAsia="仿宋_GB2312"/>
          <w:sz w:val="32"/>
          <w:szCs w:val="24"/>
          <w:lang w:val="en-US"/>
        </w:rPr>
        <w:t>公出国（境）团组数0个，因公出国（境）人次数0人。</w:t>
      </w:r>
    </w:p>
    <w:p>
      <w:pPr>
        <w:spacing w:beforeLines="0" w:afterLines="0" w:line="590" w:lineRule="exact"/>
        <w:ind w:firstLine="640"/>
        <w:rPr>
          <w:rFonts w:hint="default" w:ascii="Times New Roman" w:hAnsi="Times New Roman" w:eastAsia="Times New Roman"/>
          <w:sz w:val="32"/>
          <w:szCs w:val="24"/>
          <w:lang w:val="en-US"/>
        </w:rPr>
      </w:pPr>
      <w:r>
        <w:rPr>
          <w:rFonts w:hint="eastAsia" w:ascii="仿宋_GB2312" w:hAnsi="仿宋_GB2312" w:eastAsia="仿宋_GB2312"/>
          <w:b/>
          <w:sz w:val="32"/>
          <w:szCs w:val="24"/>
          <w:lang w:val="en-US"/>
        </w:rPr>
        <w:t>2．公务用车购置及运行费</w:t>
      </w:r>
      <w:r>
        <w:rPr>
          <w:rFonts w:hint="eastAsia" w:ascii="仿宋_GB2312" w:hAnsi="仿宋_GB2312" w:eastAsia="仿宋_GB2312"/>
          <w:sz w:val="32"/>
          <w:szCs w:val="24"/>
          <w:lang w:val="en-US"/>
        </w:rPr>
        <w:t>年初预算为1.1万元，支出决算为1.1万元，完成年初预算的100%，决算数与年初预算数</w:t>
      </w:r>
      <w:r>
        <w:rPr>
          <w:rFonts w:hint="eastAsia" w:ascii="仿宋_GB2312" w:hAnsi="仿宋_GB2312" w:eastAsia="仿宋_GB2312"/>
          <w:sz w:val="32"/>
          <w:szCs w:val="24"/>
          <w:lang w:val="en-US" w:eastAsia="zh-CN"/>
        </w:rPr>
        <w:t>无差异</w:t>
      </w:r>
      <w:r>
        <w:rPr>
          <w:rFonts w:hint="eastAsia" w:ascii="仿宋_GB2312" w:hAnsi="仿宋_GB2312" w:eastAsia="仿宋_GB2312"/>
          <w:sz w:val="32"/>
          <w:szCs w:val="24"/>
          <w:lang w:val="en-US"/>
        </w:rPr>
        <w:t>：</w:t>
      </w:r>
    </w:p>
    <w:p>
      <w:pPr>
        <w:spacing w:beforeLines="0" w:afterLines="0" w:line="590" w:lineRule="exact"/>
        <w:ind w:firstLine="640"/>
        <w:rPr>
          <w:rFonts w:hint="eastAsia" w:ascii="仿宋_GB2312" w:hAnsi="仿宋_GB2312" w:eastAsia="仿宋_GB2312"/>
          <w:sz w:val="32"/>
          <w:szCs w:val="24"/>
          <w:lang w:val="en-US" w:eastAsia="zh-CN"/>
        </w:rPr>
      </w:pPr>
      <w:r>
        <w:rPr>
          <w:rFonts w:hint="eastAsia" w:ascii="仿宋_GB2312" w:hAnsi="仿宋_GB2312" w:eastAsia="仿宋_GB2312"/>
          <w:b/>
          <w:sz w:val="32"/>
          <w:szCs w:val="24"/>
          <w:lang w:val="en-US"/>
        </w:rPr>
        <w:t>公务用车购置支出</w:t>
      </w:r>
      <w:r>
        <w:rPr>
          <w:rFonts w:hint="eastAsia" w:ascii="仿宋_GB2312" w:hAnsi="仿宋_GB2312" w:eastAsia="仿宋_GB2312"/>
          <w:sz w:val="32"/>
          <w:szCs w:val="24"/>
          <w:lang w:val="en-US"/>
        </w:rPr>
        <w:t>0万元，购置车辆</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台</w:t>
      </w:r>
      <w:r>
        <w:rPr>
          <w:rFonts w:hint="eastAsia" w:ascii="仿宋_GB2312" w:hAnsi="仿宋_GB2312" w:eastAsia="仿宋_GB2312"/>
          <w:sz w:val="32"/>
          <w:szCs w:val="24"/>
          <w:lang w:val="en-US" w:eastAsia="zh-CN"/>
        </w:rPr>
        <w:t>。</w:t>
      </w:r>
    </w:p>
    <w:p>
      <w:pPr>
        <w:spacing w:beforeLines="0" w:afterLines="0" w:line="590" w:lineRule="exact"/>
        <w:ind w:firstLine="640"/>
        <w:rPr>
          <w:rFonts w:hint="default" w:ascii="Times New Roman" w:hAnsi="Times New Roman" w:eastAsia="Times New Roman"/>
          <w:kern w:val="0"/>
          <w:sz w:val="18"/>
          <w:szCs w:val="24"/>
          <w:lang w:val="zh-CN"/>
        </w:rPr>
      </w:pPr>
      <w:r>
        <w:rPr>
          <w:rFonts w:hint="eastAsia" w:ascii="仿宋_GB2312" w:hAnsi="仿宋_GB2312" w:eastAsia="仿宋_GB2312"/>
          <w:b/>
          <w:sz w:val="32"/>
          <w:szCs w:val="24"/>
          <w:lang w:val="en-US"/>
        </w:rPr>
        <w:t>公务用车运行支出</w:t>
      </w:r>
      <w:r>
        <w:rPr>
          <w:rFonts w:hint="eastAsia" w:ascii="仿宋_GB2312" w:hAnsi="仿宋_GB2312" w:eastAsia="仿宋_GB2312"/>
          <w:sz w:val="32"/>
          <w:szCs w:val="24"/>
          <w:lang w:val="en-US"/>
        </w:rPr>
        <w:t>1.1万元。主要用于</w:t>
      </w:r>
      <w:r>
        <w:rPr>
          <w:rFonts w:hint="eastAsia" w:ascii="仿宋_GB2312" w:hAnsi="仿宋_GB2312" w:eastAsia="仿宋_GB2312"/>
          <w:sz w:val="32"/>
          <w:szCs w:val="24"/>
          <w:lang w:val="en-US" w:eastAsia="zh-CN"/>
        </w:rPr>
        <w:t>公务用车维护</w:t>
      </w:r>
      <w:r>
        <w:rPr>
          <w:rFonts w:hint="eastAsia" w:ascii="仿宋_GB2312" w:hAnsi="仿宋_GB2312" w:eastAsia="仿宋_GB2312"/>
          <w:sz w:val="32"/>
          <w:szCs w:val="24"/>
          <w:lang w:val="en-US"/>
        </w:rPr>
        <w:t>。2021年期末，单位开支财政拨款的公务用车保有量为</w:t>
      </w:r>
      <w:r>
        <w:rPr>
          <w:rFonts w:hint="eastAsia" w:ascii="仿宋_GB2312" w:hAnsi="仿宋_GB2312" w:eastAsia="仿宋_GB2312"/>
          <w:sz w:val="32"/>
          <w:szCs w:val="24"/>
          <w:lang w:val="en-US" w:eastAsia="zh-CN"/>
        </w:rPr>
        <w:t>4</w:t>
      </w:r>
      <w:r>
        <w:rPr>
          <w:rFonts w:hint="eastAsia" w:ascii="仿宋_GB2312" w:hAnsi="仿宋_GB2312" w:eastAsia="仿宋_GB2312"/>
          <w:sz w:val="32"/>
          <w:szCs w:val="24"/>
          <w:lang w:val="en-US"/>
        </w:rPr>
        <w:t>量。</w:t>
      </w:r>
    </w:p>
    <w:p>
      <w:pPr>
        <w:spacing w:beforeLines="0" w:afterLines="0" w:line="590" w:lineRule="exact"/>
        <w:ind w:firstLine="640"/>
        <w:rPr>
          <w:rFonts w:hint="default" w:ascii="Times New Roman" w:hAnsi="Times New Roman" w:eastAsia="Times New Roman"/>
          <w:sz w:val="32"/>
          <w:szCs w:val="24"/>
          <w:lang w:val="en-US"/>
        </w:rPr>
      </w:pPr>
      <w:r>
        <w:rPr>
          <w:rFonts w:hint="eastAsia" w:ascii="仿宋_GB2312" w:hAnsi="仿宋_GB2312" w:eastAsia="仿宋_GB2312"/>
          <w:b/>
          <w:sz w:val="32"/>
          <w:szCs w:val="24"/>
          <w:lang w:val="en-US"/>
        </w:rPr>
        <w:t>3.公务接待费</w:t>
      </w:r>
      <w:r>
        <w:rPr>
          <w:rFonts w:hint="eastAsia" w:ascii="仿宋_GB2312" w:hAnsi="仿宋_GB2312" w:eastAsia="仿宋_GB2312"/>
          <w:sz w:val="32"/>
          <w:szCs w:val="24"/>
          <w:lang w:val="en-US"/>
        </w:rPr>
        <w:t>年初预算为0.5万元，支出决算为0.5万元，完成年初预算的100%。决算数与年初预算数</w:t>
      </w:r>
      <w:r>
        <w:rPr>
          <w:rFonts w:hint="eastAsia" w:ascii="仿宋_GB2312" w:hAnsi="仿宋_GB2312" w:eastAsia="仿宋_GB2312"/>
          <w:sz w:val="32"/>
          <w:szCs w:val="24"/>
          <w:lang w:val="en-US" w:eastAsia="zh-CN"/>
        </w:rPr>
        <w:t>无</w:t>
      </w:r>
      <w:r>
        <w:rPr>
          <w:rFonts w:hint="eastAsia" w:ascii="仿宋_GB2312" w:hAnsi="仿宋_GB2312" w:eastAsia="仿宋_GB2312"/>
          <w:sz w:val="32"/>
          <w:szCs w:val="24"/>
          <w:lang w:val="en-US"/>
        </w:rPr>
        <w:t>差异</w:t>
      </w:r>
      <w:r>
        <w:rPr>
          <w:rFonts w:hint="eastAsia" w:ascii="仿宋_GB2312" w:hAnsi="仿宋_GB2312" w:eastAsia="仿宋_GB2312"/>
          <w:sz w:val="32"/>
          <w:szCs w:val="24"/>
          <w:lang w:val="en-US" w:eastAsia="zh-CN"/>
        </w:rPr>
        <w:t>，</w:t>
      </w:r>
      <w:r>
        <w:rPr>
          <w:rFonts w:hint="eastAsia" w:ascii="仿宋_GB2312" w:hAnsi="仿宋_GB2312" w:eastAsia="仿宋_GB2312"/>
          <w:sz w:val="32"/>
          <w:szCs w:val="24"/>
          <w:lang w:val="en-US"/>
        </w:rPr>
        <w:t>其中：</w:t>
      </w:r>
    </w:p>
    <w:p>
      <w:pPr>
        <w:spacing w:beforeLines="0" w:afterLines="0" w:line="590" w:lineRule="exact"/>
        <w:rPr>
          <w:rFonts w:hint="default" w:ascii="Times New Roman" w:hAnsi="Times New Roman" w:eastAsia="Times New Roman"/>
          <w:kern w:val="0"/>
          <w:sz w:val="18"/>
          <w:szCs w:val="24"/>
          <w:lang w:val="zh-CN"/>
        </w:rPr>
      </w:pPr>
      <w:r>
        <w:rPr>
          <w:rFonts w:hint="eastAsia" w:ascii="仿宋_GB2312" w:hAnsi="仿宋_GB2312" w:eastAsia="仿宋_GB2312"/>
          <w:b/>
          <w:sz w:val="32"/>
          <w:szCs w:val="24"/>
          <w:lang w:val="en-US"/>
        </w:rPr>
        <w:t>外宾接待支出</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万元</w:t>
      </w:r>
      <w:r>
        <w:rPr>
          <w:rFonts w:hint="eastAsia" w:ascii="仿宋_GB2312" w:hAnsi="仿宋_GB2312" w:eastAsia="仿宋_GB2312"/>
          <w:sz w:val="32"/>
          <w:szCs w:val="24"/>
          <w:lang w:val="en-US" w:eastAsia="zh-CN"/>
        </w:rPr>
        <w:t>，</w:t>
      </w:r>
      <w:r>
        <w:rPr>
          <w:rFonts w:hint="eastAsia" w:ascii="仿宋_GB2312" w:hAnsi="仿宋_GB2312" w:eastAsia="仿宋_GB2312"/>
          <w:b/>
          <w:sz w:val="32"/>
          <w:szCs w:val="24"/>
          <w:lang w:val="en-US"/>
        </w:rPr>
        <w:t>其他国内公务接待支出</w:t>
      </w:r>
      <w:r>
        <w:rPr>
          <w:rFonts w:hint="eastAsia" w:ascii="仿宋_GB2312" w:hAnsi="仿宋_GB2312" w:eastAsia="仿宋_GB2312"/>
          <w:sz w:val="32"/>
          <w:szCs w:val="24"/>
          <w:lang w:val="en-US" w:eastAsia="zh-CN"/>
        </w:rPr>
        <w:t>0.5</w:t>
      </w:r>
      <w:r>
        <w:rPr>
          <w:rFonts w:hint="eastAsia" w:ascii="仿宋_GB2312" w:hAnsi="仿宋_GB2312" w:eastAsia="仿宋_GB2312"/>
          <w:sz w:val="32"/>
          <w:szCs w:val="24"/>
          <w:lang w:val="en-US"/>
        </w:rPr>
        <w:t>万元。主要用于</w:t>
      </w:r>
      <w:r>
        <w:rPr>
          <w:rFonts w:hint="eastAsia" w:ascii="仿宋_GB2312" w:hAnsi="仿宋_GB2312" w:eastAsia="仿宋_GB2312"/>
          <w:sz w:val="32"/>
          <w:szCs w:val="24"/>
          <w:lang w:val="en-US" w:eastAsia="zh-CN"/>
        </w:rPr>
        <w:t>上级督导检查接待</w:t>
      </w:r>
      <w:r>
        <w:rPr>
          <w:rFonts w:hint="eastAsia" w:ascii="仿宋_GB2312" w:hAnsi="仿宋_GB2312" w:eastAsia="仿宋_GB2312"/>
          <w:sz w:val="32"/>
          <w:szCs w:val="24"/>
          <w:lang w:val="en-US"/>
        </w:rPr>
        <w:t>。2021年共接待国内来访团组</w:t>
      </w:r>
      <w:r>
        <w:rPr>
          <w:rFonts w:hint="eastAsia" w:ascii="仿宋_GB2312" w:hAnsi="仿宋_GB2312" w:eastAsia="仿宋_GB2312"/>
          <w:sz w:val="32"/>
          <w:szCs w:val="24"/>
          <w:lang w:val="en-US" w:eastAsia="zh-CN"/>
        </w:rPr>
        <w:t>15</w:t>
      </w:r>
      <w:r>
        <w:rPr>
          <w:rFonts w:hint="eastAsia" w:ascii="仿宋_GB2312" w:hAnsi="仿宋_GB2312" w:eastAsia="仿宋_GB2312"/>
          <w:sz w:val="32"/>
          <w:szCs w:val="24"/>
          <w:lang w:val="en-US"/>
        </w:rPr>
        <w:t>个、来宾</w:t>
      </w:r>
      <w:r>
        <w:rPr>
          <w:rFonts w:hint="eastAsia" w:ascii="仿宋_GB2312" w:hAnsi="仿宋_GB2312" w:eastAsia="仿宋_GB2312"/>
          <w:sz w:val="32"/>
          <w:szCs w:val="24"/>
          <w:lang w:val="en-US" w:eastAsia="zh-CN"/>
        </w:rPr>
        <w:t>100</w:t>
      </w:r>
      <w:r>
        <w:rPr>
          <w:rFonts w:hint="eastAsia" w:ascii="仿宋_GB2312" w:hAnsi="仿宋_GB2312" w:eastAsia="仿宋_GB2312"/>
          <w:sz w:val="32"/>
          <w:szCs w:val="24"/>
          <w:lang w:val="en-US"/>
        </w:rPr>
        <w:t>人次（不包括陪同人员）。</w:t>
      </w:r>
    </w:p>
    <w:p>
      <w:pPr>
        <w:spacing w:beforeLines="0" w:afterLines="0" w:line="590" w:lineRule="exact"/>
        <w:ind w:firstLine="640"/>
        <w:rPr>
          <w:rFonts w:hint="default" w:ascii="Times New Roman" w:hAnsi="Times New Roman" w:eastAsia="Times New Roman"/>
          <w:sz w:val="32"/>
          <w:szCs w:val="24"/>
          <w:lang w:val="en-US"/>
        </w:rPr>
      </w:pPr>
      <w:r>
        <w:rPr>
          <w:rFonts w:hint="eastAsia" w:ascii="黑体" w:hAnsi="黑体" w:eastAsia="黑体"/>
          <w:sz w:val="32"/>
          <w:szCs w:val="24"/>
          <w:lang w:val="en-US"/>
        </w:rPr>
        <w:t>八、政府性基金预算财政拨款支出决算情况说明</w:t>
      </w:r>
    </w:p>
    <w:p>
      <w:pPr>
        <w:spacing w:beforeLines="0" w:afterLines="0" w:line="590" w:lineRule="exact"/>
        <w:ind w:firstLine="640"/>
        <w:rPr>
          <w:rFonts w:hint="default" w:ascii="Times New Roman" w:hAnsi="Times New Roman" w:eastAsia="Times New Roman"/>
          <w:kern w:val="0"/>
          <w:sz w:val="18"/>
          <w:szCs w:val="24"/>
          <w:lang w:val="zh-CN"/>
        </w:rPr>
      </w:pPr>
      <w:r>
        <w:rPr>
          <w:rFonts w:hint="eastAsia" w:ascii="仿宋_GB2312" w:hAnsi="仿宋_GB2312" w:eastAsia="仿宋_GB2312"/>
          <w:sz w:val="32"/>
          <w:szCs w:val="24"/>
          <w:lang w:val="en-US"/>
        </w:rPr>
        <w:t>2021年度政府性基金预算财政拨款支出年初预算为0万元，支出决算为0万元，完成年初预算的0%。</w:t>
      </w:r>
    </w:p>
    <w:p>
      <w:pPr>
        <w:spacing w:beforeLines="0" w:afterLines="0" w:line="590" w:lineRule="exact"/>
        <w:ind w:firstLine="640"/>
        <w:rPr>
          <w:rFonts w:hint="default" w:ascii="Times New Roman" w:hAnsi="Times New Roman" w:eastAsia="Times New Roman"/>
          <w:sz w:val="32"/>
          <w:szCs w:val="24"/>
          <w:lang w:val="en-US"/>
        </w:rPr>
      </w:pPr>
      <w:r>
        <w:rPr>
          <w:rFonts w:hint="eastAsia" w:ascii="黑体" w:hAnsi="黑体" w:eastAsia="黑体"/>
          <w:sz w:val="32"/>
          <w:szCs w:val="24"/>
          <w:lang w:val="en-US"/>
        </w:rPr>
        <w:t>九、机关运行经费支出情况说明</w:t>
      </w:r>
    </w:p>
    <w:p>
      <w:pPr>
        <w:spacing w:beforeLines="0" w:afterLines="0" w:line="590" w:lineRule="exact"/>
        <w:ind w:firstLine="640"/>
        <w:rPr>
          <w:rFonts w:hint="default" w:ascii="Times New Roman" w:hAnsi="Times New Roman" w:eastAsia="Times New Roman"/>
          <w:kern w:val="0"/>
          <w:sz w:val="18"/>
          <w:szCs w:val="24"/>
          <w:lang w:val="zh-CN"/>
        </w:rPr>
      </w:pPr>
      <w:r>
        <w:rPr>
          <w:rFonts w:hint="eastAsia" w:ascii="仿宋_GB2312" w:hAnsi="仿宋_GB2312" w:eastAsia="仿宋_GB2312"/>
          <w:sz w:val="32"/>
          <w:szCs w:val="24"/>
          <w:lang w:val="en-US"/>
        </w:rPr>
        <w:t>2021年度机关运行经费初预算为</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万元，支出决算为0万元，完成年初预算的</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w:t>
      </w:r>
      <w:r>
        <w:rPr>
          <w:rFonts w:hint="eastAsia" w:ascii="仿宋_GB2312" w:hAnsi="仿宋_GB2312" w:eastAsia="仿宋_GB2312"/>
          <w:b/>
          <w:sz w:val="32"/>
          <w:szCs w:val="24"/>
          <w:lang w:val="en-US"/>
        </w:rPr>
        <w:t>我单位不是行政机关，也不是参照公务员管理事业单位，没有机关运行经费支出。</w:t>
      </w:r>
      <w:r>
        <w:rPr>
          <w:rFonts w:hint="eastAsia" w:ascii="仿宋_GB2312" w:hAnsi="仿宋_GB2312" w:eastAsia="仿宋_GB2312"/>
          <w:sz w:val="32"/>
          <w:szCs w:val="24"/>
          <w:lang w:val="en-US"/>
        </w:rPr>
        <w:t>）</w:t>
      </w:r>
    </w:p>
    <w:p>
      <w:pPr>
        <w:spacing w:beforeLines="0" w:afterLines="0" w:line="590" w:lineRule="exact"/>
        <w:ind w:firstLine="640"/>
        <w:rPr>
          <w:rFonts w:hint="default" w:ascii="Times New Roman" w:hAnsi="Times New Roman" w:eastAsia="Times New Roman"/>
          <w:sz w:val="32"/>
          <w:szCs w:val="24"/>
          <w:lang w:val="en-US"/>
        </w:rPr>
      </w:pPr>
      <w:r>
        <w:rPr>
          <w:rFonts w:hint="eastAsia" w:ascii="黑体" w:hAnsi="黑体" w:eastAsia="黑体"/>
          <w:sz w:val="32"/>
          <w:szCs w:val="24"/>
          <w:lang w:val="en-US"/>
        </w:rPr>
        <w:t>十、政府采购支出情况说明</w:t>
      </w:r>
    </w:p>
    <w:p>
      <w:pPr>
        <w:spacing w:beforeLines="0" w:afterLines="0" w:line="590" w:lineRule="exact"/>
        <w:ind w:firstLine="640"/>
        <w:rPr>
          <w:rFonts w:hint="default" w:ascii="Times New Roman" w:hAnsi="Times New Roman" w:eastAsia="Times New Roman"/>
          <w:kern w:val="0"/>
          <w:sz w:val="18"/>
          <w:szCs w:val="24"/>
          <w:lang w:val="zh-CN"/>
        </w:rPr>
      </w:pPr>
      <w:r>
        <w:rPr>
          <w:rFonts w:hint="eastAsia" w:ascii="仿宋_GB2312" w:hAnsi="仿宋_GB2312" w:eastAsia="仿宋_GB2312"/>
          <w:sz w:val="32"/>
          <w:szCs w:val="24"/>
          <w:lang w:val="en-US"/>
        </w:rPr>
        <w:t>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beforeLines="0" w:afterLines="0" w:line="590" w:lineRule="exact"/>
        <w:ind w:firstLine="640"/>
        <w:rPr>
          <w:rFonts w:hint="default" w:ascii="Times New Roman" w:hAnsi="Times New Roman" w:eastAsia="Times New Roman"/>
          <w:sz w:val="32"/>
          <w:szCs w:val="24"/>
          <w:lang w:val="en-US"/>
        </w:rPr>
      </w:pPr>
      <w:r>
        <w:rPr>
          <w:rFonts w:hint="eastAsia" w:ascii="黑体" w:hAnsi="黑体" w:eastAsia="黑体"/>
          <w:sz w:val="32"/>
          <w:szCs w:val="24"/>
          <w:lang w:val="en-US"/>
        </w:rPr>
        <w:t>十一、国有资产占用情况说明</w:t>
      </w:r>
    </w:p>
    <w:p>
      <w:pPr>
        <w:spacing w:beforeLines="0" w:afterLines="0" w:line="590" w:lineRule="exact"/>
        <w:ind w:firstLine="640"/>
        <w:rPr>
          <w:rFonts w:hint="default" w:ascii="Times New Roman" w:hAnsi="Times New Roman" w:eastAsia="Times New Roman"/>
          <w:kern w:val="0"/>
          <w:sz w:val="18"/>
          <w:szCs w:val="24"/>
          <w:lang w:val="en-US"/>
        </w:rPr>
      </w:pPr>
      <w:r>
        <w:rPr>
          <w:rFonts w:hint="eastAsia" w:ascii="仿宋_GB2312" w:hAnsi="仿宋_GB2312" w:eastAsia="仿宋_GB2312"/>
          <w:sz w:val="32"/>
          <w:szCs w:val="24"/>
          <w:lang w:val="en-US"/>
        </w:rPr>
        <w:t>2021年期末，我单位共有车辆4辆，其中：省级领导干部用车0辆、主要领导干部用车0辆、机要通信用车0辆、应急保障车0辆、执法执勤用车0辆、特种专业技术用车4辆、离退休干部用车0辆、其他用车0辆；单位价值50万元以上通用设备0台（套），单位价值100万元以上专用设备0台（套）。</w:t>
      </w:r>
    </w:p>
    <w:p>
      <w:pPr>
        <w:spacing w:beforeLines="0" w:afterLines="0" w:line="590" w:lineRule="exact"/>
        <w:ind w:firstLine="640"/>
        <w:rPr>
          <w:rFonts w:hint="default" w:ascii="Times New Roman" w:hAnsi="Times New Roman" w:eastAsia="Times New Roman"/>
          <w:sz w:val="32"/>
          <w:szCs w:val="24"/>
          <w:lang w:val="en-US"/>
        </w:rPr>
      </w:pPr>
      <w:r>
        <w:rPr>
          <w:rFonts w:hint="eastAsia" w:ascii="黑体" w:hAnsi="黑体" w:eastAsia="黑体"/>
          <w:sz w:val="32"/>
          <w:szCs w:val="24"/>
          <w:lang w:val="en-US"/>
        </w:rPr>
        <w:t>十二、预算绩效情况说明</w:t>
      </w:r>
    </w:p>
    <w:p>
      <w:pPr>
        <w:spacing w:beforeLines="0" w:afterLines="0" w:line="590" w:lineRule="exact"/>
        <w:ind w:firstLine="640"/>
        <w:rPr>
          <w:rFonts w:hint="default" w:ascii="Times New Roman" w:hAnsi="Times New Roman" w:eastAsia="Times New Roman"/>
          <w:b/>
          <w:sz w:val="32"/>
          <w:szCs w:val="24"/>
          <w:lang w:val="en-US"/>
        </w:rPr>
      </w:pPr>
      <w:r>
        <w:rPr>
          <w:rFonts w:hint="eastAsia" w:ascii="楷体_GB2312" w:hAnsi="楷体_GB2312" w:eastAsia="楷体_GB2312"/>
          <w:b/>
          <w:sz w:val="32"/>
          <w:szCs w:val="24"/>
          <w:lang w:val="en-US"/>
        </w:rPr>
        <w:t>（一）绩效管理工作开展情况。</w:t>
      </w:r>
    </w:p>
    <w:p>
      <w:pPr>
        <w:ind w:firstLine="640" w:firstLineChars="200"/>
        <w:jc w:val="left"/>
        <w:rPr>
          <w:rFonts w:hint="default" w:ascii="Times New Roman" w:hAnsi="Times New Roman" w:eastAsia="Times New Roman"/>
          <w:sz w:val="32"/>
          <w:szCs w:val="24"/>
          <w:lang w:val="en-US"/>
        </w:rPr>
      </w:pPr>
      <w:r>
        <w:rPr>
          <w:rFonts w:hint="eastAsia" w:ascii="仿宋_GB2312" w:hAnsi="仿宋_GB2312" w:eastAsia="仿宋_GB2312" w:cs="仿宋_GB2312"/>
          <w:sz w:val="32"/>
        </w:rPr>
        <w:t>一是建立完善绩效管理制度</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二是完善重点绩效评价项目绩效目标确定机制</w:t>
      </w:r>
      <w:r>
        <w:rPr>
          <w:rFonts w:hint="eastAsia" w:ascii="仿宋_GB2312" w:hAnsi="仿宋_GB2312" w:eastAsia="仿宋_GB2312" w:cs="仿宋_GB2312"/>
          <w:sz w:val="32"/>
          <w:lang w:eastAsia="zh-CN"/>
        </w:rPr>
        <w:t>；三是继续组织部门开展部门自评工作；四是强化绩效评价结果运用。</w:t>
      </w:r>
    </w:p>
    <w:p>
      <w:pPr>
        <w:spacing w:beforeLines="0" w:afterLines="0" w:line="590" w:lineRule="exact"/>
        <w:ind w:firstLine="640"/>
        <w:rPr>
          <w:rFonts w:hint="default" w:ascii="Times New Roman" w:hAnsi="Times New Roman" w:eastAsia="Times New Roman"/>
          <w:sz w:val="21"/>
          <w:szCs w:val="24"/>
          <w:lang w:val="en-US"/>
        </w:rPr>
      </w:pPr>
      <w:r>
        <w:rPr>
          <w:rFonts w:hint="eastAsia" w:ascii="楷体_GB2312" w:hAnsi="楷体_GB2312" w:eastAsia="楷体_GB2312"/>
          <w:b/>
          <w:sz w:val="32"/>
          <w:szCs w:val="24"/>
          <w:lang w:val="en-US"/>
        </w:rPr>
        <w:t>（二）项目绩效自评结果。</w:t>
      </w:r>
    </w:p>
    <w:p>
      <w:pPr>
        <w:ind w:firstLine="64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2021年</w:t>
      </w:r>
      <w:r>
        <w:rPr>
          <w:rFonts w:hint="eastAsia" w:ascii="仿宋_GB2312" w:hAnsi="仿宋_GB2312" w:eastAsia="仿宋_GB2312" w:cs="仿宋_GB2312"/>
          <w:sz w:val="32"/>
        </w:rPr>
        <w:t>我单位</w:t>
      </w:r>
      <w:r>
        <w:rPr>
          <w:rFonts w:hint="eastAsia" w:ascii="仿宋_GB2312" w:hAnsi="仿宋_GB2312" w:eastAsia="仿宋_GB2312" w:cs="仿宋_GB2312"/>
          <w:sz w:val="32"/>
          <w:lang w:eastAsia="zh-CN"/>
        </w:rPr>
        <w:t>基本完成绩效考核相关要求。</w:t>
      </w:r>
    </w:p>
    <w:p>
      <w:pPr>
        <w:ind w:firstLine="640"/>
        <w:jc w:val="left"/>
        <w:rPr>
          <w:rFonts w:hint="eastAsia" w:ascii="仿宋_GB2312" w:hAnsi="仿宋_GB2312" w:eastAsia="仿宋_GB2312" w:cs="仿宋_GB2312"/>
          <w:sz w:val="32"/>
          <w:lang w:eastAsia="zh-CN"/>
        </w:rPr>
      </w:pPr>
    </w:p>
    <w:p>
      <w:pPr>
        <w:ind w:firstLine="640"/>
        <w:jc w:val="left"/>
        <w:rPr>
          <w:rFonts w:hint="eastAsia" w:ascii="仿宋_GB2312" w:hAnsi="仿宋_GB2312" w:eastAsia="仿宋_GB2312" w:cs="仿宋_GB2312"/>
          <w:sz w:val="32"/>
          <w:lang w:eastAsia="zh-CN"/>
        </w:rPr>
      </w:pPr>
    </w:p>
    <w:p>
      <w:pPr>
        <w:ind w:firstLine="640"/>
        <w:jc w:val="left"/>
        <w:rPr>
          <w:rFonts w:hint="eastAsia" w:ascii="仿宋_GB2312" w:hAnsi="仿宋_GB2312" w:eastAsia="仿宋_GB2312" w:cs="仿宋_GB2312"/>
          <w:sz w:val="32"/>
          <w:lang w:eastAsia="zh-CN"/>
        </w:rPr>
      </w:pPr>
    </w:p>
    <w:p>
      <w:pPr>
        <w:ind w:firstLine="640"/>
        <w:jc w:val="left"/>
        <w:rPr>
          <w:rFonts w:hint="eastAsia" w:ascii="仿宋_GB2312" w:hAnsi="仿宋_GB2312" w:eastAsia="仿宋_GB2312" w:cs="仿宋_GB2312"/>
          <w:sz w:val="32"/>
          <w:lang w:eastAsia="zh-CN"/>
        </w:rPr>
      </w:pPr>
    </w:p>
    <w:p>
      <w:pPr>
        <w:ind w:firstLine="640"/>
        <w:jc w:val="left"/>
        <w:rPr>
          <w:rFonts w:hint="eastAsia" w:ascii="仿宋_GB2312" w:hAnsi="仿宋_GB2312" w:eastAsia="仿宋_GB2312" w:cs="仿宋_GB2312"/>
          <w:sz w:val="32"/>
          <w:lang w:eastAsia="zh-CN"/>
        </w:rPr>
      </w:pPr>
    </w:p>
    <w:p>
      <w:pPr>
        <w:ind w:firstLine="640"/>
        <w:jc w:val="left"/>
        <w:rPr>
          <w:rFonts w:hint="eastAsia" w:ascii="仿宋_GB2312" w:hAnsi="仿宋_GB2312" w:eastAsia="仿宋_GB2312" w:cs="仿宋_GB2312"/>
          <w:sz w:val="32"/>
          <w:lang w:eastAsia="zh-CN"/>
        </w:rPr>
      </w:pPr>
    </w:p>
    <w:p>
      <w:pPr>
        <w:ind w:firstLine="640"/>
        <w:jc w:val="left"/>
        <w:rPr>
          <w:rFonts w:hint="eastAsia" w:ascii="仿宋_GB2312" w:hAnsi="仿宋_GB2312" w:eastAsia="仿宋_GB2312" w:cs="仿宋_GB2312"/>
          <w:sz w:val="32"/>
          <w:lang w:eastAsia="zh-CN"/>
        </w:rPr>
      </w:pPr>
    </w:p>
    <w:p>
      <w:pPr>
        <w:ind w:firstLine="640"/>
        <w:jc w:val="left"/>
        <w:rPr>
          <w:rFonts w:hint="eastAsia" w:ascii="仿宋_GB2312" w:hAnsi="仿宋_GB2312" w:eastAsia="仿宋_GB2312" w:cs="仿宋_GB2312"/>
          <w:sz w:val="32"/>
          <w:lang w:eastAsia="zh-CN"/>
        </w:rPr>
      </w:pPr>
    </w:p>
    <w:p>
      <w:pPr>
        <w:ind w:firstLine="640"/>
        <w:jc w:val="left"/>
        <w:rPr>
          <w:rFonts w:hint="eastAsia" w:ascii="仿宋_GB2312" w:hAnsi="仿宋_GB2312" w:eastAsia="仿宋_GB2312" w:cs="仿宋_GB2312"/>
          <w:sz w:val="32"/>
          <w:lang w:eastAsia="zh-CN"/>
        </w:rPr>
      </w:pPr>
    </w:p>
    <w:p>
      <w:pPr>
        <w:ind w:firstLine="640"/>
        <w:jc w:val="left"/>
        <w:rPr>
          <w:rFonts w:hint="eastAsia" w:ascii="仿宋_GB2312" w:hAnsi="仿宋_GB2312" w:eastAsia="仿宋_GB2312" w:cs="仿宋_GB2312"/>
          <w:sz w:val="32"/>
          <w:lang w:eastAsia="zh-CN"/>
        </w:rPr>
      </w:pPr>
    </w:p>
    <w:p>
      <w:pPr>
        <w:ind w:firstLine="640"/>
        <w:jc w:val="left"/>
        <w:rPr>
          <w:rFonts w:hint="eastAsia" w:ascii="仿宋_GB2312" w:hAnsi="仿宋_GB2312" w:eastAsia="仿宋_GB2312" w:cs="仿宋_GB2312"/>
          <w:sz w:val="32"/>
          <w:lang w:eastAsia="zh-CN"/>
        </w:rPr>
      </w:pPr>
    </w:p>
    <w:p>
      <w:pPr>
        <w:ind w:firstLine="640"/>
        <w:jc w:val="left"/>
        <w:rPr>
          <w:rFonts w:hint="eastAsia" w:ascii="仿宋_GB2312" w:hAnsi="仿宋_GB2312" w:eastAsia="仿宋_GB2312" w:cs="仿宋_GB2312"/>
          <w:sz w:val="32"/>
          <w:lang w:eastAsia="zh-CN"/>
        </w:rPr>
      </w:pPr>
    </w:p>
    <w:p>
      <w:pPr>
        <w:ind w:firstLine="640"/>
        <w:jc w:val="left"/>
        <w:rPr>
          <w:rFonts w:hint="eastAsia" w:ascii="仿宋_GB2312" w:hAnsi="仿宋_GB2312" w:eastAsia="仿宋_GB2312" w:cs="仿宋_GB2312"/>
          <w:sz w:val="32"/>
          <w:lang w:eastAsia="zh-CN"/>
        </w:rPr>
      </w:pPr>
    </w:p>
    <w:p>
      <w:pPr>
        <w:ind w:firstLine="640"/>
        <w:jc w:val="left"/>
        <w:rPr>
          <w:rFonts w:hint="eastAsia" w:ascii="仿宋_GB2312" w:hAnsi="仿宋_GB2312" w:eastAsia="仿宋_GB2312" w:cs="仿宋_GB2312"/>
          <w:sz w:val="32"/>
          <w:lang w:eastAsia="zh-CN"/>
        </w:rPr>
      </w:pPr>
    </w:p>
    <w:p>
      <w:pPr>
        <w:ind w:firstLine="640"/>
        <w:jc w:val="left"/>
        <w:rPr>
          <w:rFonts w:hint="eastAsia" w:ascii="仿宋_GB2312" w:hAnsi="仿宋_GB2312" w:eastAsia="仿宋_GB2312" w:cs="仿宋_GB2312"/>
          <w:sz w:val="32"/>
          <w:lang w:eastAsia="zh-CN"/>
        </w:rPr>
      </w:pPr>
    </w:p>
    <w:p>
      <w:pPr>
        <w:numPr>
          <w:ilvl w:val="0"/>
          <w:numId w:val="0"/>
        </w:numPr>
        <w:ind w:leftChars="0" w:firstLine="1920" w:firstLineChars="400"/>
        <w:jc w:val="left"/>
      </w:pPr>
      <w:r>
        <w:rPr>
          <w:rFonts w:hint="eastAsia" w:ascii="黑体" w:hAnsi="黑体" w:eastAsia="黑体" w:cs="黑体"/>
          <w:sz w:val="48"/>
          <w:szCs w:val="48"/>
          <w:lang w:val="en-US" w:eastAsia="zh-CN"/>
        </w:rPr>
        <w:t>第四部分</w:t>
      </w:r>
      <w:r>
        <w:rPr>
          <w:rFonts w:hint="eastAsia" w:ascii="黑体" w:hAnsi="黑体" w:eastAsia="黑体" w:cs="黑体"/>
          <w:sz w:val="48"/>
          <w:szCs w:val="48"/>
        </w:rPr>
        <w:t xml:space="preserve"> 名词解释</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一、财政拨款收入：是指省级财政当年拨付的资金。</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 得的收入。</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560" w:lineRule="exact"/>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560" w:lineRule="exact"/>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sectPr>
      <w:pgSz w:w="12240" w:h="15840"/>
      <w:pgMar w:top="1440" w:right="1800" w:bottom="1440" w:left="1800" w:header="720" w:footer="720" w:gutter="0"/>
      <w:lnNumType w:countBy="0" w:distance="36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9-19T16:37:52Z" w:initials="A">
    <w:p w14:paraId="13334A21">
      <w:pPr>
        <w:pStyle w:val="2"/>
        <w:rPr>
          <w:rFonts w:hint="eastAsia" w:eastAsia="宋体"/>
          <w:lang w:eastAsia="zh-CN"/>
        </w:rPr>
      </w:pPr>
      <w:r>
        <w:rPr>
          <w:rFonts w:hint="eastAsia"/>
          <w:lang w:eastAsia="zh-CN"/>
        </w:rPr>
        <w:t>下面表金额全部为万元，是否导出的时候没有转换</w:t>
      </w:r>
    </w:p>
  </w:comment>
  <w:comment w:id="1" w:author="Administrator" w:date="2023-09-19T16:37:16Z" w:initials="A">
    <w:p w14:paraId="45CF72BD">
      <w:pPr>
        <w:pStyle w:val="2"/>
        <w:rPr>
          <w:rFonts w:hint="default" w:eastAsia="宋体"/>
          <w:lang w:val="en-US" w:eastAsia="zh-CN"/>
        </w:rPr>
      </w:pPr>
      <w:r>
        <w:rPr>
          <w:rFonts w:hint="eastAsia"/>
          <w:lang w:eastAsia="zh-CN"/>
        </w:rPr>
        <w:t>挪上面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334A21" w15:done="0"/>
  <w15:commentEx w15:paraId="45CF72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FDBA8"/>
    <w:multiLevelType w:val="singleLevel"/>
    <w:tmpl w:val="243FDBA8"/>
    <w:lvl w:ilvl="0" w:tentative="0">
      <w:start w:val="1"/>
      <w:numFmt w:val="chineseCounting"/>
      <w:suff w:val="space"/>
      <w:lvlText w:val="第%1部分"/>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ZGJmMGY2YjBkNGIyNmM2NThkN2E5YjcxNzdlNjMifQ=="/>
  </w:docVars>
  <w:rsids>
    <w:rsidRoot w:val="00172A27"/>
    <w:rsid w:val="14E42122"/>
    <w:rsid w:val="27016857"/>
    <w:rsid w:val="45D02C29"/>
    <w:rsid w:val="4EC36842"/>
    <w:rsid w:val="59A229E7"/>
    <w:rsid w:val="5C884E63"/>
    <w:rsid w:val="6E7E234F"/>
    <w:rsid w:val="75B401A3"/>
    <w:rsid w:val="7F8130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7219</Words>
  <Characters>9709</Characters>
  <Lines>0</Lines>
  <Paragraphs>0</Paragraphs>
  <TotalTime>0</TotalTime>
  <ScaleCrop>false</ScaleCrop>
  <LinksUpToDate>false</LinksUpToDate>
  <CharactersWithSpaces>9967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婧</cp:lastModifiedBy>
  <dcterms:modified xsi:type="dcterms:W3CDTF">2023-09-19T10:03:27Z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828ECFB2ABCA48A59590C181F72304CF</vt:lpwstr>
  </property>
</Properties>
</file>