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2021年度</w:t>
      </w:r>
    </w:p>
    <w:p>
      <w:pPr>
        <w:jc w:val="center"/>
        <w:rPr>
          <w:rFonts w:hint="eastAsia" w:ascii="黑体" w:hAnsi="黑体" w:eastAsia="黑体" w:cs="黑体"/>
          <w:sz w:val="52"/>
          <w:szCs w:val="52"/>
          <w:lang w:eastAsia="zh-CN"/>
        </w:rPr>
      </w:pPr>
      <w:r>
        <w:rPr>
          <w:rFonts w:hint="eastAsia" w:ascii="黑体" w:hAnsi="黑体" w:eastAsia="黑体" w:cs="黑体"/>
          <w:sz w:val="52"/>
          <w:szCs w:val="52"/>
        </w:rPr>
        <w:t>中共义马市委统一战线工作部</w:t>
      </w:r>
      <w:r>
        <w:rPr>
          <w:rFonts w:hint="eastAsia" w:ascii="黑体" w:hAnsi="黑体" w:eastAsia="黑体" w:cs="黑体"/>
          <w:sz w:val="52"/>
          <w:szCs w:val="52"/>
          <w:lang w:eastAsia="zh-CN"/>
        </w:rPr>
        <w:t>本级</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中共义马市委统一战线工作部门概况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中共义马市委统一战线工作部门概况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numPr>
          <w:ilvl w:val="0"/>
          <w:numId w:val="2"/>
        </w:numPr>
        <w:ind w:firstLine="640" w:firstLineChars="200"/>
        <w:jc w:val="left"/>
        <w:outlineLvl w:val="1"/>
        <w:rPr>
          <w:rFonts w:hint="eastAsia" w:ascii="黑体" w:hAnsi="黑体" w:eastAsia="黑体" w:cs="黑体"/>
          <w:bCs/>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widowControl/>
        <w:numPr>
          <w:ilvl w:val="0"/>
          <w:numId w:val="0"/>
        </w:numPr>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中央、省委、市委关于统一战线工作的方针、政策，并对统一战线的理论和方针政策调查研究；向上级统战部门和市委反映情况，提出开展统战工作的意见和建议；检查统战政策执行情况，协调统一战线各方面的关系。</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负责联系全市民主党派和无党派人士，及时通报情况，反映他们的意见和建议；研究、贯彻党领导的多党合作和政治协商制度以及对民主党派的方针、政策；落实中央和上级党委关于发挥民主党派和无党派人士参政议政和民主监督作用的方针政策和安排部署，为市委同民主党派进行政治协商做好组织联系工作；受市委委托，向民主党派、无党派代表人士通报市委的重要情况和重大决定；支持、帮助民主党派加强自身建设，培养选拔新一代代表人物；协助有关部门帮助民主党派改善工作条件。</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（三）负责调查研究、督促检查有关民族和宗教工作重大方针、政策的贯彻落实情况，联系少数民族和宗教界代表人物。  </w:t>
      </w:r>
    </w:p>
    <w:p>
      <w:pPr>
        <w:widowControl/>
        <w:ind w:firstLine="640" w:firstLineChars="200"/>
        <w:jc w:val="left"/>
        <w:outlineLvl w:val="1"/>
        <w:rPr>
          <w:rFonts w:hint="eastAsia" w:ascii="黑体" w:hAnsi="黑体" w:eastAsia="黑体" w:cs="黑体"/>
          <w:bCs/>
          <w:sz w:val="32"/>
          <w:szCs w:val="32"/>
        </w:rPr>
      </w:pPr>
      <w:r>
        <w:rPr>
          <w:rFonts w:hint="eastAsia" w:ascii="仿宋_GB2312" w:hAnsi="仿宋_GB2312" w:eastAsia="仿宋_GB2312" w:cs="仿宋_GB2312"/>
          <w:kern w:val="0"/>
          <w:sz w:val="32"/>
          <w:szCs w:val="32"/>
        </w:rPr>
        <w:t xml:space="preserve">（四）负责开展以祖国统一及促进我市经济发展为重点的海外统战工作，联系香港、澳门和海外有关社团及代表人士；做好台胞台属的有关工作；开展海内外统一战线的宣传工作。  </w:t>
      </w:r>
      <w:r>
        <w:rPr>
          <w:rFonts w:hint="eastAsia" w:ascii="黑体" w:hAnsi="黑体" w:eastAsia="黑体" w:cs="黑体"/>
          <w:bCs/>
          <w:sz w:val="32"/>
          <w:szCs w:val="32"/>
        </w:rPr>
        <w:t xml:space="preserve"> </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负责党外人士的政治安排；会同组织部门做好培养、考察、选拔、推荐党外人士担任人大机关、政府工作部门、政协机关和司法机关及乡镇领导职务的工作；做好党外后备干部和新的代表人物队伍的建设工作；负责市人大党外代表和市政协委员配备工作。</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调查研究并反映我市非公有制经济代表人士情况，协调关系、提出政策建议；协助有关部门做好非公有制经济组织中党、团和工会组织建设；团结、帮助、教育、引导非公有制经济代表人士，积极开展思想政治工作；参与有关规范性文件的研究制定，为促进我市非公有制经济的发展提供服务。</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（七）负责联系、培养党外知识分子代表人物；调查研究党外知识分子情况，反映意见，协调关系，提出政策建议。</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（八）负责联系指导市工商联、市侨联等有关社会团体工作；会同有关部门做好宗教团体的人士安排工作，负责做好有关统战对象的工作。</w:t>
      </w:r>
    </w:p>
    <w:p>
      <w:pPr>
        <w:widowControl/>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（九）负责指导我市各基层党委、人民团体、企事业单位的统一战线工作；负责协调统一战线有关部门的联系；负责全市党外干部和统战系统干部的培训工作。</w:t>
      </w:r>
    </w:p>
    <w:p>
      <w:pPr>
        <w:widowControl/>
        <w:ind w:firstLine="640" w:firstLineChars="200"/>
        <w:jc w:val="left"/>
        <w:outlineLvl w:val="1"/>
        <w:rPr>
          <w:rFonts w:ascii="黑体" w:hAnsi="黑体" w:eastAsia="黑体" w:cs="黑体"/>
          <w:kern w:val="0"/>
          <w:sz w:val="32"/>
          <w:szCs w:val="32"/>
        </w:rPr>
      </w:pPr>
      <w:r>
        <w:rPr>
          <w:rFonts w:hint="eastAsia" w:ascii="仿宋_GB2312" w:hAnsi="仿宋_GB2312" w:eastAsia="仿宋_GB2312" w:cs="仿宋_GB2312"/>
          <w:kern w:val="0"/>
          <w:sz w:val="32"/>
          <w:szCs w:val="32"/>
        </w:rPr>
        <w:t>（十）完成上级党委统战部门和市委交办的其他工作。</w:t>
      </w:r>
    </w:p>
    <w:p>
      <w:pPr>
        <w:widowControl/>
        <w:numPr>
          <w:ilvl w:val="0"/>
          <w:numId w:val="3"/>
        </w:numPr>
        <w:jc w:val="left"/>
        <w:outlineLvl w:val="1"/>
        <w:rPr>
          <w:rFonts w:ascii="黑体" w:hAnsi="黑体" w:eastAsia="黑体" w:cs="黑体"/>
          <w:kern w:val="0"/>
          <w:sz w:val="32"/>
          <w:szCs w:val="32"/>
        </w:rPr>
      </w:pPr>
      <w:r>
        <w:rPr>
          <w:rFonts w:hint="eastAsia" w:ascii="黑体" w:hAnsi="黑体" w:eastAsia="黑体" w:cs="黑体"/>
          <w:kern w:val="0"/>
          <w:sz w:val="32"/>
          <w:szCs w:val="32"/>
        </w:rPr>
        <w:t>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中共义马市委统一战线工作部门内设机构5个，包括：</w:t>
      </w:r>
      <w:r>
        <w:rPr>
          <w:rFonts w:hint="eastAsia" w:ascii="仿宋_GB2312" w:eastAsia="仿宋_GB2312"/>
          <w:color w:val="000000"/>
          <w:kern w:val="0"/>
          <w:sz w:val="32"/>
          <w:szCs w:val="32"/>
        </w:rPr>
        <w:t>义马市委统战部</w:t>
      </w:r>
      <w:r>
        <w:rPr>
          <w:rFonts w:hint="eastAsia" w:ascii="仿宋_GB2312" w:hAnsi="仿宋_GB2312" w:eastAsia="仿宋_GB2312" w:cs="仿宋_GB2312"/>
          <w:sz w:val="32"/>
          <w:szCs w:val="32"/>
        </w:rPr>
        <w:t>部机关本级、</w:t>
      </w:r>
      <w:r>
        <w:rPr>
          <w:rFonts w:hint="eastAsia" w:ascii="仿宋_GB2312" w:eastAsia="仿宋_GB2312"/>
          <w:color w:val="000000"/>
          <w:kern w:val="0"/>
          <w:sz w:val="32"/>
          <w:szCs w:val="32"/>
        </w:rPr>
        <w:t>义马市民族宗教事务委员会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义马市归国华侨联合会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义马市台湾工作办公室</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义马市统战理论宣传办公室</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从决算单位构成看，中共义马市委统一战线工作部门部门决算包括：本级决算。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纳入本部门2021年度部门决算编制范围的单位共1个，其中二级预算单位包括：</w:t>
      </w:r>
    </w:p>
    <w:p>
      <w:pPr>
        <w:spacing w:line="360" w:lineRule="auto"/>
        <w:ind w:firstLine="640" w:firstLineChars="200"/>
        <w:jc w:val="left"/>
        <w:rPr>
          <w:rFonts w:ascii="仿宋_GB2312" w:hAnsi="仿宋_GB2312" w:eastAsia="仿宋_GB2312" w:cs="仿宋_GB2312"/>
          <w:sz w:val="32"/>
          <w:szCs w:val="32"/>
        </w:rPr>
      </w:pPr>
      <w:r>
        <w:rPr>
          <w:rFonts w:hint="eastAsia" w:ascii="仿宋_GB2312" w:eastAsia="仿宋_GB2312"/>
          <w:color w:val="000000"/>
          <w:kern w:val="0"/>
          <w:sz w:val="32"/>
          <w:szCs w:val="32"/>
        </w:rPr>
        <w:t>1、义马市委统战部</w:t>
      </w:r>
      <w:r>
        <w:rPr>
          <w:rFonts w:hint="eastAsia" w:ascii="仿宋_GB2312" w:hAnsi="仿宋_GB2312" w:eastAsia="仿宋_GB2312" w:cs="仿宋_GB2312"/>
          <w:sz w:val="32"/>
          <w:szCs w:val="32"/>
        </w:rPr>
        <w:t>部机关本级</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宋体"/>
          <w:kern w:val="0"/>
          <w:sz w:val="28"/>
          <w:szCs w:val="28"/>
        </w:rPr>
        <w:t xml:space="preserve">   </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Layout w:type="fixed"/>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Layout w:type="fixed"/>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Layout w:type="fixed"/>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26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Layout w:type="fixed"/>
          <w:tblCellMar>
            <w:top w:w="0" w:type="dxa"/>
            <w:left w:w="0" w:type="dxa"/>
            <w:bottom w:w="0" w:type="dxa"/>
            <w:right w:w="0" w:type="dxa"/>
          </w:tblCellMar>
        </w:tblPrEx>
        <w:trPr>
          <w:trHeight w:val="29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Layout w:type="fixed"/>
          <w:tblCellMar>
            <w:top w:w="0" w:type="dxa"/>
            <w:left w:w="0" w:type="dxa"/>
            <w:bottom w:w="0" w:type="dxa"/>
            <w:right w:w="0" w:type="dxa"/>
          </w:tblCellMar>
        </w:tblPrEx>
        <w:trPr>
          <w:trHeight w:val="30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276.67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229.16</w:t>
            </w:r>
          </w:p>
        </w:tc>
      </w:tr>
      <w:tr>
        <w:tblPrEx>
          <w:tblLayout w:type="fixed"/>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r>
      <w:tr>
        <w:tblPrEx>
          <w:tblLayout w:type="fixed"/>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11.22</w:t>
            </w:r>
          </w:p>
        </w:tc>
      </w:tr>
      <w:tr>
        <w:tblPrEx>
          <w:tblLayout w:type="fixed"/>
          <w:tblCellMar>
            <w:top w:w="0" w:type="dxa"/>
            <w:left w:w="0" w:type="dxa"/>
            <w:bottom w:w="0" w:type="dxa"/>
            <w:right w:w="0" w:type="dxa"/>
          </w:tblCellMar>
        </w:tblPrEx>
        <w:trPr>
          <w:trHeight w:val="2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29.19</w:t>
            </w:r>
          </w:p>
        </w:tc>
      </w:tr>
      <w:tr>
        <w:tblPrEx>
          <w:tblLayout w:type="fixed"/>
          <w:tblCellMar>
            <w:top w:w="0" w:type="dxa"/>
            <w:left w:w="0" w:type="dxa"/>
            <w:bottom w:w="0" w:type="dxa"/>
            <w:right w:w="0" w:type="dxa"/>
          </w:tblCellMar>
        </w:tblPrEx>
        <w:trPr>
          <w:trHeight w:val="24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 xml:space="preserve">           7.10   </w:t>
            </w:r>
          </w:p>
        </w:tc>
      </w:tr>
      <w:tr>
        <w:tblPrEx>
          <w:tblLayout w:type="fixed"/>
          <w:tblCellMar>
            <w:top w:w="0" w:type="dxa"/>
            <w:left w:w="0" w:type="dxa"/>
            <w:bottom w:w="0" w:type="dxa"/>
            <w:right w:w="0" w:type="dxa"/>
          </w:tblCellMar>
        </w:tblPrEx>
        <w:trPr>
          <w:trHeight w:val="31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276.67</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4" w:firstLineChars="500"/>
              <w:rPr>
                <w:rFonts w:ascii="宋体" w:hAnsi="宋体" w:cs="宋体"/>
                <w:b/>
                <w:color w:val="000000"/>
                <w:sz w:val="20"/>
                <w:szCs w:val="20"/>
              </w:rPr>
            </w:pPr>
            <w:r>
              <w:rPr>
                <w:rFonts w:hint="eastAsia" w:ascii="宋体" w:hAnsi="宋体" w:cs="宋体"/>
                <w:b/>
                <w:color w:val="000000"/>
                <w:sz w:val="20"/>
                <w:szCs w:val="20"/>
              </w:rPr>
              <w:t>278.77</w:t>
            </w:r>
          </w:p>
        </w:tc>
      </w:tr>
      <w:tr>
        <w:tblPrEx>
          <w:tblLayout w:type="fixed"/>
          <w:tblCellMar>
            <w:top w:w="0" w:type="dxa"/>
            <w:left w:w="0" w:type="dxa"/>
            <w:bottom w:w="0" w:type="dxa"/>
            <w:right w:w="0" w:type="dxa"/>
          </w:tblCellMar>
        </w:tblPrEx>
        <w:trPr>
          <w:trHeight w:val="2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0" w:firstLineChars="500"/>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4"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278.77</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ind w:firstLine="1004" w:firstLineChars="500"/>
              <w:rPr>
                <w:rFonts w:ascii="宋体" w:hAnsi="宋体" w:cs="宋体"/>
                <w:b/>
                <w:color w:val="000000"/>
                <w:sz w:val="20"/>
                <w:szCs w:val="20"/>
              </w:rPr>
            </w:pPr>
            <w:r>
              <w:rPr>
                <w:rFonts w:hint="eastAsia" w:ascii="宋体" w:hAnsi="宋体" w:cs="宋体"/>
                <w:b/>
                <w:color w:val="000000"/>
                <w:sz w:val="20"/>
                <w:szCs w:val="20"/>
              </w:rPr>
              <w:t>278.77</w:t>
            </w:r>
          </w:p>
        </w:tc>
      </w:tr>
      <w:tr>
        <w:tblPrEx>
          <w:tblLayout w:type="fixed"/>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45" w:type="dxa"/>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Layout w:type="fixed"/>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Layout w:type="fixed"/>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公开02表</w:t>
            </w:r>
          </w:p>
        </w:tc>
      </w:tr>
      <w:tr>
        <w:tblPrEx>
          <w:tblLayout w:type="fixed"/>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355"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其他收入</w:t>
            </w:r>
          </w:p>
        </w:tc>
      </w:tr>
      <w:tr>
        <w:tblPrEx>
          <w:tblLayout w:type="fixed"/>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功能分类</w:t>
            </w:r>
          </w:p>
          <w:p>
            <w:pPr>
              <w:jc w:val="left"/>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37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7</w:t>
            </w:r>
          </w:p>
        </w:tc>
      </w:tr>
      <w:tr>
        <w:tblPrEx>
          <w:tblLayout w:type="fixed"/>
          <w:tblCellMar>
            <w:top w:w="0" w:type="dxa"/>
            <w:left w:w="0" w:type="dxa"/>
            <w:bottom w:w="0" w:type="dxa"/>
            <w:right w:w="0" w:type="dxa"/>
          </w:tblCellMar>
        </w:tblPrEx>
        <w:trPr>
          <w:trHeight w:val="345"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276.67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276.67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5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120"/>
        <w:gridCol w:w="63"/>
        <w:gridCol w:w="27"/>
        <w:gridCol w:w="1499"/>
        <w:gridCol w:w="1624"/>
        <w:gridCol w:w="130"/>
        <w:gridCol w:w="1672"/>
        <w:gridCol w:w="232"/>
        <w:gridCol w:w="1569"/>
        <w:gridCol w:w="335"/>
        <w:gridCol w:w="1467"/>
        <w:gridCol w:w="437"/>
        <w:gridCol w:w="1364"/>
        <w:gridCol w:w="540"/>
        <w:gridCol w:w="1909"/>
      </w:tblGrid>
      <w:tr>
        <w:tblPrEx>
          <w:tblLayout w:type="fixed"/>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Layout w:type="fixed"/>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499"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62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公开03表</w:t>
            </w:r>
          </w:p>
        </w:tc>
      </w:tr>
      <w:tr>
        <w:tblPrEx>
          <w:tblLayout w:type="fixed"/>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365" w:hRule="atLeast"/>
        </w:trPr>
        <w:tc>
          <w:tcPr>
            <w:tcW w:w="270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75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对附属单位补助支出</w:t>
            </w:r>
          </w:p>
        </w:tc>
      </w:tr>
      <w:tr>
        <w:tblPrEx>
          <w:tblLayout w:type="fixed"/>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5" w:hRule="atLeast"/>
        </w:trPr>
        <w:tc>
          <w:tcPr>
            <w:tcW w:w="270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trHeight w:val="405" w:hRule="atLeast"/>
        </w:trPr>
        <w:tc>
          <w:tcPr>
            <w:tcW w:w="270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278.77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278.77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kern w:val="0"/>
                <w:sz w:val="20"/>
                <w:szCs w:val="20"/>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Layout w:type="fixed"/>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0" w:type="dxa"/>
            <w:left w:w="0" w:type="dxa"/>
            <w:bottom w:w="0" w:type="dxa"/>
            <w:right w:w="0" w:type="dxa"/>
          </w:tblCellMar>
        </w:tblPrEx>
        <w:trPr>
          <w:trHeight w:val="282"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257"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支出</w:t>
            </w:r>
          </w:p>
        </w:tc>
      </w:tr>
      <w:tr>
        <w:tblPrEx>
          <w:tblLayout w:type="fixed"/>
          <w:tblCellMar>
            <w:top w:w="0" w:type="dxa"/>
            <w:left w:w="0" w:type="dxa"/>
            <w:bottom w:w="0" w:type="dxa"/>
            <w:right w:w="0" w:type="dxa"/>
          </w:tblCellMar>
        </w:tblPrEx>
        <w:trPr>
          <w:trHeight w:val="50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政府性基金预算财政拨款</w:t>
            </w: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276.67</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229.16</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229.16</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五、农林水支出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11.22</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11.22</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29.19</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29.19</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r>
              <w:rPr>
                <w:rFonts w:hint="eastAsia" w:ascii="宋体" w:hAnsi="宋体" w:cs="宋体"/>
                <w:color w:val="000000"/>
                <w:sz w:val="20"/>
                <w:szCs w:val="20"/>
              </w:rPr>
              <w:t>八、卫生健康支出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7.10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7.10</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276.67</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278.77</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278.77</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278.77</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278.77</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278.77</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ascii="宋体" w:hAnsi="宋体" w:cs="宋体"/>
                <w:b/>
                <w:color w:val="000000"/>
                <w:sz w:val="20"/>
                <w:szCs w:val="20"/>
              </w:rPr>
            </w:pPr>
          </w:p>
        </w:tc>
      </w:tr>
      <w:tr>
        <w:tblPrEx>
          <w:tblLayout w:type="fixed"/>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688"/>
        <w:gridCol w:w="2485"/>
        <w:gridCol w:w="3189"/>
        <w:gridCol w:w="3449"/>
        <w:gridCol w:w="3451"/>
      </w:tblGrid>
      <w:tr>
        <w:tblPrEx>
          <w:tblLayout w:type="fixed"/>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485"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318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w:t>
            </w:r>
            <w:r>
              <w:rPr>
                <w:rStyle w:val="7"/>
                <w:rFonts w:hint="default"/>
              </w:rPr>
              <w:t>5表</w:t>
            </w:r>
          </w:p>
        </w:tc>
      </w:tr>
      <w:tr>
        <w:tblPrEx>
          <w:tblLayout w:type="fixed"/>
          <w:tblCellMar>
            <w:top w:w="0" w:type="dxa"/>
            <w:left w:w="0" w:type="dxa"/>
            <w:bottom w:w="0" w:type="dxa"/>
            <w:right w:w="0" w:type="dxa"/>
          </w:tblCellMar>
        </w:tblPrEx>
        <w:trPr>
          <w:trHeight w:val="300" w:hRule="atLeast"/>
        </w:trPr>
        <w:tc>
          <w:tcPr>
            <w:tcW w:w="389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318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389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项 </w:t>
            </w:r>
            <w:r>
              <w:rPr>
                <w:rStyle w:val="8"/>
                <w:rFonts w:hint="default"/>
                <w:sz w:val="20"/>
                <w:szCs w:val="20"/>
              </w:rPr>
              <w:t xml:space="preserve">   </w:t>
            </w:r>
            <w:r>
              <w:rPr>
                <w:rStyle w:val="9"/>
                <w:rFonts w:hint="default"/>
                <w:sz w:val="20"/>
                <w:szCs w:val="20"/>
              </w:rPr>
              <w:t>目</w:t>
            </w:r>
          </w:p>
        </w:tc>
        <w:tc>
          <w:tcPr>
            <w:tcW w:w="1008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r>
      <w:tr>
        <w:tblPrEx>
          <w:tblLayout w:type="fixed"/>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24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318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r>
      <w:tr>
        <w:tblPrEx>
          <w:tblLayout w:type="fixed"/>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8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2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18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389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tblPrEx>
          <w:tblLayout w:type="fixed"/>
          <w:tblCellMar>
            <w:top w:w="0" w:type="dxa"/>
            <w:left w:w="0" w:type="dxa"/>
            <w:bottom w:w="0" w:type="dxa"/>
            <w:right w:w="0" w:type="dxa"/>
          </w:tblCellMar>
        </w:tblPrEx>
        <w:trPr>
          <w:trHeight w:val="450" w:hRule="atLeast"/>
        </w:trPr>
        <w:tc>
          <w:tcPr>
            <w:tcW w:w="389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278.77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278.77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201</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229.16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20128</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民主党派及工商联事务支出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4.70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20134</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统战事务</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224.46</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29.19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卫生健康支出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7.10</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农林水支出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2.1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住房保障支出</w:t>
            </w:r>
          </w:p>
        </w:tc>
        <w:tc>
          <w:tcPr>
            <w:tcW w:w="3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11.22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kern w:val="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Layout w:type="fixed"/>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公开06表</w:t>
            </w:r>
          </w:p>
        </w:tc>
      </w:tr>
      <w:tr>
        <w:tblPrEx>
          <w:tblLayout w:type="fixed"/>
          <w:tblCellMar>
            <w:top w:w="0" w:type="dxa"/>
            <w:left w:w="0" w:type="dxa"/>
            <w:bottom w:w="0" w:type="dxa"/>
            <w:right w:w="0" w:type="dxa"/>
          </w:tblCellMar>
        </w:tblPrEx>
        <w:trPr>
          <w:trHeight w:val="312" w:hRule="atLeast"/>
        </w:trPr>
        <w:tc>
          <w:tcPr>
            <w:tcW w:w="3793" w:type="dxa"/>
            <w:gridSpan w:val="2"/>
            <w:tcBorders>
              <w:top w:val="nil"/>
              <w:left w:val="nil"/>
              <w:bottom w:val="nil"/>
              <w:right w:val="nil"/>
            </w:tcBorders>
            <w:noWrap/>
            <w:tcMar>
              <w:top w:w="15" w:type="dxa"/>
              <w:left w:w="15" w:type="dxa"/>
              <w:right w:w="15" w:type="dxa"/>
            </w:tcMar>
            <w:vAlign w:val="center"/>
          </w:tcPr>
          <w:p>
            <w:pPr>
              <w:rPr>
                <w:rFonts w:hint="eastAsia" w:ascii="Arial" w:hAnsi="Arial" w:eastAsia="宋体" w:cs="Arial"/>
                <w:color w:val="000000"/>
                <w:sz w:val="20"/>
                <w:szCs w:val="20"/>
                <w:lang w:eastAsia="zh-CN"/>
              </w:rPr>
            </w:pPr>
            <w:r>
              <w:rPr>
                <w:rFonts w:ascii="Arial" w:hAnsi="Arial" w:cs="Arial"/>
                <w:color w:val="000000"/>
                <w:kern w:val="0"/>
                <w:sz w:val="20"/>
                <w:szCs w:val="20"/>
              </w:rPr>
              <w:t>部门：</w:t>
            </w:r>
            <w:r>
              <w:rPr>
                <w:rFonts w:hint="eastAsia" w:ascii="宋体" w:hAnsi="宋体" w:cs="宋体"/>
                <w:color w:val="000000"/>
                <w:kern w:val="0"/>
                <w:sz w:val="20"/>
                <w:szCs w:val="20"/>
              </w:rPr>
              <w:t>中共义马市委统一战线工作部门</w:t>
            </w:r>
            <w:r>
              <w:rPr>
                <w:rFonts w:hint="eastAsia" w:ascii="宋体" w:hAnsi="宋体" w:cs="宋体"/>
                <w:color w:val="000000"/>
                <w:kern w:val="0"/>
                <w:sz w:val="20"/>
                <w:szCs w:val="20"/>
                <w:lang w:eastAsia="zh-CN"/>
              </w:rPr>
              <w:t>本级</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145.20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120.69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51.54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16.46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42.23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22.22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13.94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15.20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3.54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11.22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7.02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12.88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10.27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8.99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23.93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4.68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0.76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12.22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24.05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158.08</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120.69</w:t>
            </w:r>
          </w:p>
        </w:tc>
      </w:tr>
      <w:tr>
        <w:tblPrEx>
          <w:tblLayout w:type="fixed"/>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Layout w:type="fixed"/>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公务用车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0.51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0.51</w:t>
            </w: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0"/>
                <w:rFonts w:hint="default"/>
                <w:sz w:val="20"/>
                <w:szCs w:val="20"/>
              </w:rPr>
              <w:t>预算数为“三公”经费年初预算数，决算数是包括当年一般公共预算财政拨款和以前年度结转资金安排的实际支出。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Layout w:type="fixed"/>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Layout w:type="fixed"/>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部门：中共义马市委统一战线工作部门</w:t>
            </w:r>
            <w:r>
              <w:rPr>
                <w:rFonts w:hint="eastAsia" w:ascii="宋体" w:hAnsi="宋体" w:cs="宋体"/>
                <w:color w:val="000000"/>
                <w:kern w:val="0"/>
                <w:sz w:val="20"/>
                <w:szCs w:val="20"/>
                <w:lang w:eastAsia="zh-CN"/>
              </w:rPr>
              <w:t>本级</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Layout w:type="fixed"/>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一、收入支出决算总体情况说明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rPr>
        <w:t>2021年度收、支总计均为278.77万元。与上年度相比，收、支总计各增加51.66万元，增长22.75%。</w:t>
      </w:r>
      <w:r>
        <w:rPr>
          <w:rFonts w:hint="eastAsia" w:ascii="仿宋_GB2312" w:hAnsi="仿宋_GB2312" w:eastAsia="仿宋_GB2312" w:cs="仿宋_GB2312"/>
          <w:kern w:val="0"/>
          <w:sz w:val="32"/>
          <w:szCs w:val="32"/>
          <w:lang w:val="zh-CN"/>
        </w:rPr>
        <w:t>主要原因是</w:t>
      </w:r>
      <w:r>
        <w:rPr>
          <w:rFonts w:hint="eastAsia" w:ascii="仿宋_GB2312" w:hAnsi="仿宋_GB2312" w:eastAsia="仿宋_GB2312" w:cs="仿宋_GB2312"/>
          <w:sz w:val="32"/>
        </w:rPr>
        <w:t>人员增加，人员工资支出增长</w:t>
      </w:r>
      <w:r>
        <w:rPr>
          <w:rFonts w:hint="eastAsia" w:ascii="仿宋_GB2312" w:hAnsi="仿宋_GB2312" w:eastAsia="仿宋_GB2312" w:cs="仿宋_GB2312"/>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二、收入决算情况说明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2021年度收入合计</w:t>
      </w:r>
      <w:r>
        <w:rPr>
          <w:rFonts w:hint="eastAsia" w:ascii="仿宋_GB2312" w:hAnsi="仿宋_GB2312" w:eastAsia="仿宋_GB2312" w:cs="仿宋_GB2312"/>
          <w:sz w:val="32"/>
          <w:lang w:val="en-US" w:eastAsia="zh-CN"/>
        </w:rPr>
        <w:t>276.67</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276.67</w:t>
      </w:r>
      <w:bookmarkStart w:id="0" w:name="_GoBack"/>
      <w:bookmarkEnd w:id="0"/>
      <w:r>
        <w:rPr>
          <w:rFonts w:hint="eastAsia" w:ascii="仿宋_GB2312" w:hAnsi="仿宋_GB2312" w:eastAsia="仿宋_GB2312" w:cs="仿宋_GB2312"/>
          <w:sz w:val="32"/>
        </w:rPr>
        <w:t>万元，占100%；上级补助收入0万元，占0%；事业收入0万元，占0%；经营收入0万元，占0%；附属单位上缴收入0万元，占0%；其他收入0万元，占0%。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三、支出决算情况说明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2021年度支出合计278.77万元，其中：基本支出278.77万元，占100%；项目支出0万元，占0%；上缴上级支出0万元，占0%；经营支出0万元，占0%；对附属单位补助支出0万元，占0%。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四、财政拨款收入支出决算总体情况说明</w:t>
      </w:r>
    </w:p>
    <w:p>
      <w:pPr>
        <w:autoSpaceDE w:val="0"/>
        <w:autoSpaceDN w:val="0"/>
        <w:adjustRightInd w:val="0"/>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val="zh-CN"/>
        </w:rPr>
        <w:t>20</w:t>
      </w:r>
      <w:r>
        <w:rPr>
          <w:rFonts w:hint="eastAsia" w:ascii="仿宋_GB2312" w:hAnsi="仿宋_GB2312" w:eastAsia="仿宋_GB2312" w:cs="仿宋_GB2312"/>
          <w:sz w:val="32"/>
        </w:rPr>
        <w:t>21</w:t>
      </w:r>
      <w:r>
        <w:rPr>
          <w:rFonts w:hint="eastAsia" w:ascii="仿宋_GB2312" w:hAnsi="仿宋_GB2312" w:eastAsia="仿宋_GB2312" w:cs="仿宋_GB2312"/>
          <w:sz w:val="32"/>
          <w:lang w:val="zh-CN"/>
        </w:rPr>
        <w:t>年度财政拨款收、支总计均为</w:t>
      </w:r>
      <w:r>
        <w:rPr>
          <w:rFonts w:hint="eastAsia" w:ascii="仿宋_GB2312" w:hAnsi="仿宋_GB2312" w:eastAsia="仿宋_GB2312" w:cs="仿宋_GB2312"/>
          <w:sz w:val="32"/>
        </w:rPr>
        <w:t>278.77</w:t>
      </w:r>
      <w:r>
        <w:rPr>
          <w:rFonts w:hint="eastAsia" w:ascii="仿宋_GB2312" w:hAnsi="仿宋_GB2312" w:eastAsia="仿宋_GB2312" w:cs="仿宋_GB2312"/>
          <w:sz w:val="32"/>
          <w:lang w:val="zh-CN"/>
        </w:rPr>
        <w:t>万元。与上年度相比，财政拨款收、支总计各增加</w:t>
      </w:r>
      <w:r>
        <w:rPr>
          <w:rFonts w:hint="eastAsia" w:ascii="仿宋_GB2312" w:hAnsi="仿宋_GB2312" w:eastAsia="仿宋_GB2312" w:cs="仿宋_GB2312"/>
          <w:sz w:val="32"/>
        </w:rPr>
        <w:t>51.66</w:t>
      </w:r>
      <w:r>
        <w:rPr>
          <w:rFonts w:hint="eastAsia" w:ascii="仿宋_GB2312" w:hAnsi="仿宋_GB2312" w:eastAsia="仿宋_GB2312" w:cs="仿宋_GB2312"/>
          <w:sz w:val="32"/>
          <w:lang w:val="zh-CN"/>
        </w:rPr>
        <w:t>万元，增长</w:t>
      </w:r>
      <w:r>
        <w:rPr>
          <w:rFonts w:hint="eastAsia" w:ascii="仿宋_GB2312" w:hAnsi="仿宋_GB2312" w:eastAsia="仿宋_GB2312" w:cs="仿宋_GB2312"/>
          <w:sz w:val="32"/>
        </w:rPr>
        <w:t>22.75</w:t>
      </w:r>
      <w:r>
        <w:rPr>
          <w:rFonts w:hint="eastAsia" w:ascii="仿宋_GB2312" w:hAnsi="仿宋_GB2312" w:eastAsia="仿宋_GB2312" w:cs="仿宋_GB2312"/>
          <w:sz w:val="32"/>
          <w:lang w:val="zh-CN"/>
        </w:rPr>
        <w:t>%。主要原因是</w:t>
      </w:r>
      <w:r>
        <w:rPr>
          <w:rFonts w:hint="eastAsia" w:ascii="仿宋_GB2312" w:hAnsi="仿宋_GB2312" w:eastAsia="仿宋_GB2312" w:cs="仿宋_GB2312"/>
          <w:sz w:val="32"/>
        </w:rPr>
        <w:t>人员增加，人员工资支出增长</w:t>
      </w:r>
      <w:r>
        <w:rPr>
          <w:rFonts w:hint="eastAsia" w:ascii="仿宋_GB2312" w:hAnsi="仿宋_GB2312" w:eastAsia="仿宋_GB2312" w:cs="仿宋_GB2312"/>
          <w:sz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五、一般公共预算财政拨款支出决算情况说明</w:t>
      </w:r>
    </w:p>
    <w:p>
      <w:pPr>
        <w:autoSpaceDE w:val="0"/>
        <w:autoSpaceDN w:val="0"/>
        <w:adjustRightInd w:val="0"/>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zh-CN"/>
        </w:rPr>
        <w:t>（一）总体情况</w:t>
      </w:r>
    </w:p>
    <w:p>
      <w:pPr>
        <w:autoSpaceDE w:val="0"/>
        <w:autoSpaceDN w:val="0"/>
        <w:adjustRightInd w:val="0"/>
        <w:ind w:firstLine="640" w:firstLineChars="200"/>
        <w:jc w:val="left"/>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2021年度一般公共预算财政拨款支出278.77万元，占本年支出合计的100%。与上年度相比，一般公共预算财政拨款支出增加51.66万元，增长22.75%。主要原因是人员增加，人员工资支出增长。</w:t>
      </w:r>
    </w:p>
    <w:p>
      <w:pPr>
        <w:autoSpaceDE w:val="0"/>
        <w:autoSpaceDN w:val="0"/>
        <w:adjustRightInd w:val="0"/>
        <w:ind w:firstLine="643" w:firstLineChars="200"/>
        <w:jc w:val="left"/>
        <w:rPr>
          <w:rFonts w:ascii="楷体" w:hAnsi="楷体" w:eastAsia="楷体" w:cs="宋体"/>
          <w:b/>
          <w:kern w:val="0"/>
          <w:sz w:val="32"/>
          <w:szCs w:val="32"/>
          <w:lang w:val="zh-CN"/>
        </w:rPr>
      </w:pPr>
      <w:r>
        <w:rPr>
          <w:rFonts w:hint="eastAsia" w:ascii="楷体" w:hAnsi="楷体" w:eastAsia="楷体" w:cs="宋体"/>
          <w:b/>
          <w:kern w:val="0"/>
          <w:sz w:val="32"/>
          <w:szCs w:val="32"/>
          <w:lang w:val="zh-CN"/>
        </w:rPr>
        <w:t>（二）结构情况</w:t>
      </w:r>
    </w:p>
    <w:p>
      <w:pPr>
        <w:autoSpaceDE w:val="0"/>
        <w:autoSpaceDN w:val="0"/>
        <w:adjustRightInd w:val="0"/>
        <w:ind w:firstLine="640" w:firstLineChars="200"/>
        <w:jc w:val="left"/>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 xml:space="preserve">2021年度一般公共预算财政拨款支出278.77万元，主要用于以下方面：一般公共服务（类）支出229.16万元，占82.20%； </w:t>
      </w:r>
    </w:p>
    <w:p>
      <w:pPr>
        <w:autoSpaceDE w:val="0"/>
        <w:autoSpaceDN w:val="0"/>
        <w:adjustRightInd w:val="0"/>
        <w:ind w:firstLine="643" w:firstLineChars="200"/>
        <w:jc w:val="left"/>
        <w:rPr>
          <w:rFonts w:ascii="楷体" w:hAnsi="楷体" w:eastAsia="楷体" w:cs="宋体"/>
          <w:b/>
          <w:kern w:val="0"/>
          <w:sz w:val="32"/>
          <w:szCs w:val="32"/>
          <w:lang w:val="zh-CN"/>
        </w:rPr>
      </w:pPr>
      <w:r>
        <w:rPr>
          <w:rFonts w:hint="eastAsia" w:ascii="楷体" w:hAnsi="楷体" w:eastAsia="楷体" w:cs="宋体"/>
          <w:b/>
          <w:kern w:val="0"/>
          <w:sz w:val="32"/>
          <w:szCs w:val="32"/>
          <w:lang w:val="zh-CN"/>
        </w:rPr>
        <w:t>（三）具体情况</w:t>
      </w:r>
    </w:p>
    <w:p>
      <w:pPr>
        <w:autoSpaceDE w:val="0"/>
        <w:autoSpaceDN w:val="0"/>
        <w:adjustRightInd w:val="0"/>
        <w:ind w:firstLine="640" w:firstLineChars="200"/>
        <w:jc w:val="left"/>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2021年度一般公共预算财政拨款支出年初预算为297.06万元，支出决算为278.77万元，完成年初预算的93.84%。其中：</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1.一般公共服务支出（类）民主党派及工商联事务（款）其他民主党派及工商联事务支出（项）。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4.70</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4.70</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2</w:t>
      </w:r>
      <w:r>
        <w:rPr>
          <w:rFonts w:hint="eastAsia" w:ascii="仿宋_GB2312" w:hAnsi="仿宋_GB2312" w:eastAsia="仿宋_GB2312" w:cs="仿宋_GB2312"/>
          <w:b/>
          <w:kern w:val="0"/>
          <w:sz w:val="32"/>
          <w:szCs w:val="32"/>
          <w:lang w:val="zh-CN"/>
        </w:rPr>
        <w:t>.一般公共服务支出（类）统战事务（款）行政运行（项）。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178.99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178.99</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3</w:t>
      </w:r>
      <w:r>
        <w:rPr>
          <w:rFonts w:hint="eastAsia" w:ascii="仿宋_GB2312" w:hAnsi="仿宋_GB2312" w:eastAsia="仿宋_GB2312" w:cs="仿宋_GB2312"/>
          <w:b/>
          <w:kern w:val="0"/>
          <w:sz w:val="32"/>
          <w:szCs w:val="32"/>
          <w:lang w:val="zh-CN"/>
        </w:rPr>
        <w:t>.一般公共服务支出（类）统战事务（款）宗教事务（项）。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24.06</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24.06</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4</w:t>
      </w:r>
      <w:r>
        <w:rPr>
          <w:rFonts w:hint="eastAsia" w:ascii="仿宋_GB2312" w:hAnsi="仿宋_GB2312" w:eastAsia="仿宋_GB2312" w:cs="仿宋_GB2312"/>
          <w:b/>
          <w:kern w:val="0"/>
          <w:sz w:val="32"/>
          <w:szCs w:val="32"/>
          <w:lang w:val="zh-CN"/>
        </w:rPr>
        <w:t>.一般公共服务支出（类）统战事务（款）华侨事务（项）。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19.39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19.39</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lang w:val="zh-CN"/>
        </w:rPr>
        <w:t>.一般公共服务支出（类）统战事务（款）其他统战事务支出（项）。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6</w:t>
      </w:r>
      <w:r>
        <w:rPr>
          <w:rFonts w:hint="eastAsia" w:ascii="仿宋_GB2312" w:hAnsi="仿宋_GB2312" w:eastAsia="仿宋_GB2312" w:cs="仿宋_GB2312"/>
          <w:b/>
          <w:kern w:val="0"/>
          <w:sz w:val="32"/>
          <w:szCs w:val="32"/>
          <w:lang w:val="zh-CN"/>
        </w:rPr>
        <w:t>. 社会保障和就业支出（类）行政事业单位养老支出（款）行政单位离退休（项）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10.02</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10.02</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7</w:t>
      </w:r>
      <w:r>
        <w:rPr>
          <w:rFonts w:hint="eastAsia" w:ascii="仿宋_GB2312" w:hAnsi="仿宋_GB2312" w:eastAsia="仿宋_GB2312" w:cs="仿宋_GB2312"/>
          <w:b/>
          <w:kern w:val="0"/>
          <w:sz w:val="32"/>
          <w:szCs w:val="32"/>
          <w:lang w:val="zh-CN"/>
        </w:rPr>
        <w:t>. 社会保障和就业支出（类）行政事业单位养老支出（款）机关事业单位基本养老保险缴费支出（项）。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15.20</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15.20</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8</w:t>
      </w:r>
      <w:r>
        <w:rPr>
          <w:rFonts w:hint="eastAsia" w:ascii="仿宋_GB2312" w:hAnsi="仿宋_GB2312" w:eastAsia="仿宋_GB2312" w:cs="仿宋_GB2312"/>
          <w:b/>
          <w:kern w:val="0"/>
          <w:sz w:val="32"/>
          <w:szCs w:val="32"/>
          <w:lang w:val="zh-CN"/>
        </w:rPr>
        <w:t>. 社会保障和就业支出（类）行政事业单位养老支出（款）机关事业单位职业年金缴费支出（项）。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3.97</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3.97</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5"/>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9</w:t>
      </w:r>
      <w:r>
        <w:rPr>
          <w:rFonts w:hint="eastAsia" w:ascii="仿宋_GB2312" w:hAnsi="仿宋_GB2312" w:eastAsia="仿宋_GB2312" w:cs="仿宋_GB2312"/>
          <w:b/>
          <w:kern w:val="0"/>
          <w:sz w:val="32"/>
          <w:szCs w:val="32"/>
          <w:lang w:val="zh-CN"/>
        </w:rPr>
        <w:t>. 卫生健康支出（类）行政事业单位医疗（款）行政单位医疗（项）。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7.10</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7.10</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3"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rPr>
        <w:t>10</w:t>
      </w:r>
      <w:r>
        <w:rPr>
          <w:rFonts w:hint="eastAsia" w:ascii="仿宋_GB2312" w:hAnsi="仿宋_GB2312" w:eastAsia="仿宋_GB2312" w:cs="仿宋_GB2312"/>
          <w:b/>
          <w:kern w:val="0"/>
          <w:sz w:val="32"/>
          <w:szCs w:val="32"/>
          <w:lang w:val="zh-CN"/>
        </w:rPr>
        <w:t>.农林水支出（类）农村综合改革（款）对村民委员会和村党支部的补助（项）。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b/>
          <w:kern w:val="0"/>
          <w:sz w:val="32"/>
          <w:szCs w:val="32"/>
        </w:rPr>
        <w:t>11</w:t>
      </w:r>
      <w:r>
        <w:rPr>
          <w:rFonts w:hint="eastAsia" w:ascii="仿宋_GB2312" w:hAnsi="仿宋_GB2312" w:eastAsia="仿宋_GB2312" w:cs="仿宋_GB2312"/>
          <w:b/>
          <w:kern w:val="0"/>
          <w:sz w:val="32"/>
          <w:szCs w:val="32"/>
          <w:lang w:val="zh-CN"/>
        </w:rPr>
        <w:t>. 住房保障支出（类）住房改革支出（款）住房公积金（项）。</w:t>
      </w:r>
      <w:r>
        <w:rPr>
          <w:rFonts w:hint="eastAsia" w:ascii="仿宋_GB2312" w:hAnsi="仿宋_GB2312" w:eastAsia="仿宋_GB2312" w:cs="仿宋_GB2312"/>
          <w:kern w:val="0"/>
          <w:sz w:val="32"/>
          <w:szCs w:val="32"/>
          <w:lang w:val="zh-CN"/>
        </w:rPr>
        <w:t>年初预算为</w:t>
      </w:r>
      <w:r>
        <w:rPr>
          <w:rFonts w:hint="eastAsia" w:ascii="仿宋_GB2312" w:hAnsi="仿宋_GB2312" w:eastAsia="仿宋_GB2312" w:cs="仿宋_GB2312"/>
          <w:kern w:val="0"/>
          <w:sz w:val="32"/>
          <w:szCs w:val="32"/>
        </w:rPr>
        <w:t>11.22</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11.22</w:t>
      </w:r>
      <w:r>
        <w:rPr>
          <w:rFonts w:hint="eastAsia" w:ascii="仿宋_GB2312" w:hAnsi="仿宋_GB2312" w:eastAsia="仿宋_GB2312" w:cs="仿宋_GB2312"/>
          <w:kern w:val="0"/>
          <w:sz w:val="32"/>
          <w:szCs w:val="32"/>
          <w:lang w:val="zh-CN"/>
        </w:rPr>
        <w:t>万元，完成年初预算的100%。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六、一般公共预算财政拨款基本支出决算情况说明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2021年度一般公共预算财政拨款基本支出</w:t>
      </w:r>
      <w:r>
        <w:rPr>
          <w:rFonts w:hint="eastAsia" w:ascii="仿宋_GB2312" w:hAnsi="仿宋_GB2312" w:eastAsia="仿宋_GB2312" w:cs="仿宋_GB2312"/>
          <w:kern w:val="0"/>
          <w:sz w:val="32"/>
          <w:szCs w:val="32"/>
        </w:rPr>
        <w:t>278.77</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sz w:val="32"/>
          <w:szCs w:val="32"/>
          <w:highlight w:val="none"/>
        </w:rPr>
        <w:t>与上年度相比，减少</w:t>
      </w:r>
      <w:r>
        <w:rPr>
          <w:rFonts w:hint="eastAsia" w:ascii="仿宋_GB2312" w:hAnsi="仿宋_GB2312" w:eastAsia="仿宋_GB2312" w:cs="仿宋_GB2312"/>
          <w:sz w:val="32"/>
          <w:szCs w:val="32"/>
          <w:highlight w:val="none"/>
          <w:lang w:val="en-US" w:eastAsia="zh-CN"/>
        </w:rPr>
        <w:t>19.89</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6.66</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当年人员经费较上年支出减少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lang w:val="zh-CN"/>
        </w:rPr>
        <w:t>其中：人员经费</w:t>
      </w:r>
      <w:r>
        <w:rPr>
          <w:rFonts w:hint="eastAsia" w:ascii="仿宋_GB2312" w:hAnsi="仿宋_GB2312" w:eastAsia="仿宋_GB2312" w:cs="仿宋_GB2312"/>
          <w:kern w:val="0"/>
          <w:sz w:val="32"/>
          <w:szCs w:val="32"/>
        </w:rPr>
        <w:t>158.08</w:t>
      </w:r>
      <w:r>
        <w:rPr>
          <w:rFonts w:hint="eastAsia" w:ascii="仿宋_GB2312" w:hAnsi="仿宋_GB2312" w:eastAsia="仿宋_GB2312" w:cs="仿宋_GB2312"/>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公用经费</w:t>
      </w:r>
      <w:r>
        <w:rPr>
          <w:rFonts w:hint="eastAsia" w:ascii="仿宋_GB2312" w:hAnsi="仿宋_GB2312" w:eastAsia="仿宋_GB2312" w:cs="仿宋_GB2312"/>
          <w:kern w:val="0"/>
          <w:sz w:val="32"/>
          <w:szCs w:val="32"/>
        </w:rPr>
        <w:t>120.69</w:t>
      </w:r>
      <w:r>
        <w:rPr>
          <w:rFonts w:hint="eastAsia" w:ascii="仿宋_GB2312" w:hAnsi="仿宋_GB2312" w:eastAsia="仿宋_GB2312" w:cs="仿宋_GB2312"/>
          <w:kern w:val="0"/>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七、一般公共预算财政拨款</w:t>
      </w:r>
      <w:r>
        <w:rPr>
          <w:rFonts w:ascii="黑体" w:hAnsi="黑体" w:eastAsia="黑体" w:cs="宋体"/>
          <w:kern w:val="0"/>
          <w:sz w:val="32"/>
          <w:szCs w:val="32"/>
          <w:lang w:val="zh-CN"/>
        </w:rPr>
        <w:t>“</w:t>
      </w:r>
      <w:r>
        <w:rPr>
          <w:rFonts w:hint="eastAsia" w:ascii="黑体" w:hAnsi="黑体" w:eastAsia="黑体" w:cs="宋体"/>
          <w:kern w:val="0"/>
          <w:sz w:val="32"/>
          <w:szCs w:val="32"/>
          <w:lang w:val="zh-CN"/>
        </w:rPr>
        <w:t>三公</w:t>
      </w:r>
      <w:r>
        <w:rPr>
          <w:rFonts w:ascii="黑体" w:hAnsi="黑体" w:eastAsia="黑体" w:cs="宋体"/>
          <w:kern w:val="0"/>
          <w:sz w:val="32"/>
          <w:szCs w:val="32"/>
          <w:lang w:val="zh-CN"/>
        </w:rPr>
        <w:t>”</w:t>
      </w:r>
      <w:r>
        <w:rPr>
          <w:rFonts w:hint="eastAsia" w:ascii="黑体" w:hAnsi="黑体" w:eastAsia="黑体" w:cs="宋体"/>
          <w:kern w:val="0"/>
          <w:sz w:val="32"/>
          <w:szCs w:val="32"/>
          <w:lang w:val="zh-CN"/>
        </w:rPr>
        <w:t>经费支出决算情况说明</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（一）</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经费财政拨款支出决算总体情况说明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2021年度“三公”经费财政拨款支出预算为</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0.51</w:t>
      </w:r>
      <w:r>
        <w:rPr>
          <w:rFonts w:hint="eastAsia" w:ascii="仿宋_GB2312" w:hAnsi="仿宋_GB2312" w:eastAsia="仿宋_GB2312" w:cs="仿宋_GB2312"/>
          <w:kern w:val="0"/>
          <w:sz w:val="32"/>
          <w:szCs w:val="32"/>
          <w:lang w:val="zh-CN"/>
        </w:rPr>
        <w:t>万元，完成预算的</w:t>
      </w:r>
      <w:r>
        <w:rPr>
          <w:rFonts w:hint="eastAsia" w:ascii="仿宋_GB2312" w:hAnsi="仿宋_GB2312" w:eastAsia="仿宋_GB2312" w:cs="仿宋_GB2312"/>
          <w:kern w:val="0"/>
          <w:sz w:val="32"/>
          <w:szCs w:val="32"/>
        </w:rPr>
        <w:t>12.75</w:t>
      </w:r>
      <w:r>
        <w:rPr>
          <w:rFonts w:hint="eastAsia" w:ascii="仿宋_GB2312" w:hAnsi="仿宋_GB2312" w:eastAsia="仿宋_GB2312" w:cs="仿宋_GB2312"/>
          <w:kern w:val="0"/>
          <w:sz w:val="32"/>
          <w:szCs w:val="32"/>
          <w:lang w:val="zh-CN"/>
        </w:rPr>
        <w:t>%。2021年度“三公”经费支出决算数与预算数存在差异的主要原因是当年没有公务用车运行费支出。</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（二）</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经费财政拨款支出决算具体情况说明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2021年度“三公”经费财政拨款支出决算中，因公出国（境）费支出决算0万元，完成预算的0%，占0%；公务用车购置及运行费支出决算0万元，完成预算的0%，占0%；公务接待费支出决算0</w:t>
      </w:r>
      <w:r>
        <w:rPr>
          <w:rFonts w:hint="eastAsia" w:ascii="仿宋_GB2312" w:hAnsi="仿宋_GB2312" w:eastAsia="仿宋_GB2312" w:cs="仿宋_GB2312"/>
          <w:kern w:val="0"/>
          <w:sz w:val="32"/>
          <w:szCs w:val="32"/>
          <w:lang w:val="en-US" w:eastAsia="zh-CN"/>
        </w:rPr>
        <w:t>.51</w:t>
      </w:r>
      <w:r>
        <w:rPr>
          <w:rFonts w:hint="eastAsia" w:ascii="仿宋_GB2312" w:hAnsi="仿宋_GB2312" w:eastAsia="仿宋_GB2312" w:cs="仿宋_GB2312"/>
          <w:kern w:val="0"/>
          <w:sz w:val="32"/>
          <w:szCs w:val="32"/>
          <w:lang w:val="zh-CN"/>
        </w:rPr>
        <w:t>万元，完成预算的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val="zh-CN"/>
        </w:rPr>
        <w:t>%，占</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val="zh-CN"/>
        </w:rPr>
        <w:t>0%。具体情况如下：</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1．因公出国（境）费年初预算为0万元，支出决算为0万元，完成年初预算的0%。全年因公出国（境）团组0个，累计0人次。</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2．公务用车购置费年初预算为0万元，支出决算为0万元，完成年初预算的0%。</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3.公务用车运行费年初预算为4万元，支出决算为0万元。完成年初预算的0%。</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3.公务接待费年初预算为0万元，支出决算为0.51万元，完成年初预算的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val="zh-CN"/>
        </w:rPr>
        <w:t>%。决算数与年初预算数存在差异的主要原因是招待费没有列入年初预算。</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正常的公务接待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人次（不包括陪同人员）。</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八、政府性基金预算财政拨款支出决算情况说明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kern w:val="0"/>
          <w:sz w:val="32"/>
          <w:szCs w:val="32"/>
          <w:lang w:val="zh-CN"/>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中共义马市委统一战线工作部门没有政府性基金收入，也没有使用政府性基金安排的支出。</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2021年度机关运行经费年初预算为</w:t>
      </w:r>
      <w:r>
        <w:rPr>
          <w:rFonts w:hint="eastAsia" w:ascii="仿宋_GB2312" w:hAnsi="仿宋_GB2312" w:eastAsia="仿宋_GB2312" w:cs="仿宋_GB2312"/>
          <w:kern w:val="0"/>
          <w:sz w:val="32"/>
          <w:szCs w:val="32"/>
        </w:rPr>
        <w:t>120.69</w:t>
      </w:r>
      <w:r>
        <w:rPr>
          <w:rFonts w:hint="eastAsia" w:ascii="仿宋_GB2312" w:hAnsi="仿宋_GB2312" w:eastAsia="仿宋_GB2312" w:cs="仿宋_GB2312"/>
          <w:kern w:val="0"/>
          <w:sz w:val="32"/>
          <w:szCs w:val="32"/>
          <w:lang w:val="zh-CN"/>
        </w:rPr>
        <w:t>万元，支出决算为</w:t>
      </w:r>
      <w:r>
        <w:rPr>
          <w:rFonts w:hint="eastAsia" w:ascii="仿宋_GB2312" w:hAnsi="仿宋_GB2312" w:eastAsia="仿宋_GB2312" w:cs="仿宋_GB2312"/>
          <w:kern w:val="0"/>
          <w:sz w:val="32"/>
          <w:szCs w:val="32"/>
        </w:rPr>
        <w:t>120.69</w:t>
      </w:r>
      <w:r>
        <w:rPr>
          <w:rFonts w:hint="eastAsia" w:ascii="仿宋_GB2312" w:hAnsi="仿宋_GB2312" w:eastAsia="仿宋_GB2312" w:cs="仿宋_GB2312"/>
          <w:kern w:val="0"/>
          <w:sz w:val="32"/>
          <w:szCs w:val="32"/>
          <w:lang w:val="zh-CN"/>
        </w:rPr>
        <w:t>万元，完成年初预算的100%。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w:t>
      </w:r>
    </w:p>
    <w:p>
      <w:pPr>
        <w:widowControl/>
        <w:spacing w:line="590" w:lineRule="exact"/>
        <w:ind w:firstLine="640" w:firstLineChars="200"/>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120.69</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11.66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10.69</w:t>
      </w:r>
      <w:r>
        <w:rPr>
          <w:rFonts w:hint="eastAsia" w:ascii="仿宋_GB2312" w:hAnsi="仿宋_GB2312" w:eastAsia="仿宋_GB2312" w:cs="仿宋_GB2312"/>
          <w:sz w:val="32"/>
          <w:szCs w:val="32"/>
          <w:highlight w:val="none"/>
        </w:rPr>
        <w:t>%。增加的主要原因是：</w:t>
      </w:r>
      <w:r>
        <w:rPr>
          <w:rFonts w:hint="eastAsia" w:ascii="仿宋_GB2312" w:hAnsi="仿宋_GB2312" w:eastAsia="仿宋_GB2312" w:cs="仿宋_GB2312"/>
          <w:sz w:val="32"/>
          <w:szCs w:val="32"/>
          <w:highlight w:val="none"/>
          <w:lang w:eastAsia="zh-CN"/>
        </w:rPr>
        <w:t>工资福利支出较上年有所增加</w:t>
      </w:r>
      <w:r>
        <w:rPr>
          <w:rFonts w:hint="eastAsia" w:ascii="仿宋_GB2312" w:hAnsi="仿宋_GB2312" w:eastAsia="仿宋_GB2312" w:cs="仿宋_GB2312"/>
          <w:sz w:val="32"/>
          <w:szCs w:val="32"/>
          <w:highlight w:val="none"/>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十、政府采购支出情况说明</w:t>
      </w:r>
    </w:p>
    <w:p>
      <w:pPr>
        <w:pStyle w:val="2"/>
        <w:kinsoku w:val="0"/>
        <w:overflowPunct w:val="0"/>
        <w:spacing w:line="338" w:lineRule="auto"/>
        <w:ind w:left="120" w:right="117" w:firstLine="640"/>
        <w:rPr>
          <w:rFonts w:hint="eastAsia" w:ascii="仿宋_GB2312" w:hAnsi="仿宋_GB2312" w:eastAsia="仿宋_GB2312" w:cs="仿宋_GB2312"/>
          <w:kern w:val="0"/>
          <w:szCs w:val="32"/>
          <w:lang w:val="zh-CN"/>
        </w:rPr>
      </w:pPr>
      <w:r>
        <w:rPr>
          <w:rFonts w:hint="eastAsia" w:ascii="仿宋_GB2312" w:hAnsi="仿宋_GB2312" w:eastAsia="仿宋_GB2312" w:cs="仿宋_GB2312"/>
        </w:rPr>
        <w:t xml:space="preserve">2021 年度政府采购支出总额 0 </w:t>
      </w:r>
      <w:r>
        <w:rPr>
          <w:rFonts w:hint="eastAsia" w:ascii="仿宋_GB2312" w:hAnsi="仿宋_GB2312" w:eastAsia="仿宋_GB2312" w:cs="仿宋_GB2312"/>
          <w:spacing w:val="-7"/>
        </w:rPr>
        <w:t>万元，其中：政府采购货物支出</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0</w:t>
      </w:r>
      <w:r>
        <w:rPr>
          <w:rFonts w:hint="eastAsia" w:ascii="仿宋_GB2312" w:hAnsi="仿宋_GB2312" w:eastAsia="仿宋_GB2312" w:cs="仿宋_GB2312"/>
          <w:spacing w:val="-85"/>
        </w:rPr>
        <w:t xml:space="preserve"> </w:t>
      </w:r>
      <w:r>
        <w:rPr>
          <w:rFonts w:hint="eastAsia" w:ascii="仿宋_GB2312" w:hAnsi="仿宋_GB2312" w:eastAsia="仿宋_GB2312" w:cs="仿宋_GB2312"/>
        </w:rPr>
        <w:t>万元、政府采购工程支出 0</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万元、政府采购服务支出</w:t>
      </w:r>
      <w:r>
        <w:rPr>
          <w:rFonts w:hint="eastAsia" w:ascii="仿宋_GB2312" w:hAnsi="仿宋_GB2312" w:eastAsia="仿宋_GB2312" w:cs="仿宋_GB2312"/>
          <w:spacing w:val="-85"/>
        </w:rPr>
        <w:t xml:space="preserve"> </w:t>
      </w:r>
      <w:r>
        <w:rPr>
          <w:rFonts w:hint="eastAsia" w:ascii="仿宋_GB2312" w:hAnsi="仿宋_GB2312" w:eastAsia="仿宋_GB2312" w:cs="仿宋_GB2312"/>
        </w:rPr>
        <w:t>0</w:t>
      </w:r>
      <w:r>
        <w:rPr>
          <w:rFonts w:hint="eastAsia" w:ascii="仿宋_GB2312" w:hAnsi="仿宋_GB2312" w:eastAsia="仿宋_GB2312" w:cs="仿宋_GB2312"/>
          <w:spacing w:val="-86"/>
        </w:rPr>
        <w:t xml:space="preserve"> </w:t>
      </w:r>
      <w:r>
        <w:rPr>
          <w:rFonts w:hint="eastAsia" w:ascii="仿宋_GB2312" w:hAnsi="仿宋_GB2312" w:eastAsia="仿宋_GB2312" w:cs="仿宋_GB2312"/>
        </w:rPr>
        <w:t xml:space="preserve">万元。授予中小企业合同金额 0 万元，占政府采购支出总额的 </w:t>
      </w:r>
      <w:r>
        <w:rPr>
          <w:rFonts w:hint="eastAsia" w:ascii="仿宋_GB2312" w:hAnsi="仿宋_GB2312" w:eastAsia="仿宋_GB2312" w:cs="仿宋_GB2312"/>
          <w:spacing w:val="3"/>
        </w:rPr>
        <w:t xml:space="preserve">0，其中：授予小微企业合同金额 </w:t>
      </w:r>
      <w:r>
        <w:rPr>
          <w:rFonts w:hint="eastAsia" w:ascii="仿宋_GB2312" w:hAnsi="仿宋_GB2312" w:eastAsia="仿宋_GB2312" w:cs="仿宋_GB2312"/>
        </w:rPr>
        <w:t>0 万元，占政府采购支出总额的</w:t>
      </w:r>
      <w:r>
        <w:rPr>
          <w:rFonts w:hint="eastAsia" w:ascii="仿宋_GB2312" w:hAnsi="仿宋_GB2312" w:eastAsia="仿宋_GB2312" w:cs="仿宋_GB2312"/>
          <w:spacing w:val="-72"/>
        </w:rPr>
        <w:t xml:space="preserve"> </w:t>
      </w:r>
      <w:r>
        <w:rPr>
          <w:rFonts w:hint="eastAsia" w:ascii="仿宋_GB2312" w:hAnsi="仿宋_GB2312" w:eastAsia="仿宋_GB2312" w:cs="仿宋_GB2312"/>
        </w:rPr>
        <w:t>100%。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十一、国有资产占用情况说明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2021年期末，我部门共有车辆</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辆，其中：机要通信用车0辆、应急保障车0辆、执法执勤用车0辆、特种专业技术用车0辆、离退休干部用车0辆、其他用车</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辆；单位价值50万元以上通用设备0台（套），单位价值100万元以上专用设备0台（套）。</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十二、预算绩效情况说明</w:t>
      </w:r>
    </w:p>
    <w:p>
      <w:pPr>
        <w:widowControl/>
        <w:spacing w:line="590" w:lineRule="exact"/>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2"/>
          <w:sz w:val="32"/>
          <w:szCs w:val="32"/>
          <w:lang w:val="en-US" w:eastAsia="zh-CN" w:bidi="ar"/>
        </w:rPr>
        <w:t>2021年，我部门纳入预算绩效管理的支出总额为</w:t>
      </w:r>
      <w:r>
        <w:rPr>
          <w:rFonts w:hint="eastAsia" w:ascii="仿宋_GB2312" w:hAnsi="仿宋_GB2312" w:eastAsia="仿宋_GB2312" w:cs="仿宋_GB2312"/>
          <w:sz w:val="32"/>
        </w:rPr>
        <w:t>278.77</w:t>
      </w:r>
      <w:r>
        <w:rPr>
          <w:rFonts w:hint="eastAsia" w:ascii="仿宋_GB2312" w:hAnsi="仿宋_GB2312" w:eastAsia="仿宋_GB2312" w:cs="仿宋_GB2312"/>
          <w:kern w:val="2"/>
          <w:sz w:val="32"/>
          <w:szCs w:val="32"/>
          <w:lang w:val="en-US" w:eastAsia="zh-CN" w:bidi="ar"/>
        </w:rPr>
        <w:t>万元，其中人员经费支出</w:t>
      </w:r>
      <w:r>
        <w:rPr>
          <w:rFonts w:hint="eastAsia" w:ascii="仿宋_GB2312" w:hAnsi="仿宋_GB2312" w:eastAsia="仿宋_GB2312" w:cs="仿宋_GB2312"/>
          <w:kern w:val="0"/>
          <w:sz w:val="32"/>
          <w:szCs w:val="32"/>
        </w:rPr>
        <w:t>158.08</w:t>
      </w:r>
      <w:r>
        <w:rPr>
          <w:rFonts w:hint="eastAsia" w:ascii="仿宋_GB2312" w:hAnsi="仿宋_GB2312" w:eastAsia="仿宋_GB2312" w:cs="仿宋_GB2312"/>
          <w:kern w:val="2"/>
          <w:sz w:val="32"/>
          <w:szCs w:val="32"/>
          <w:lang w:val="en-US" w:eastAsia="zh-CN" w:bidi="ar"/>
        </w:rPr>
        <w:t>万元，公用经费支出120.69万元；支出项目共0个，支出金额0万元。其中，进行项目绩效自评0个，自评金额0万元；纳入重点绩效评价（部门评价或财政评价）0个，评价金额0万元。</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我单位自评资金覆盖率达到100%，自评结果按时报送财政局并在门户网站上进行公开。</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根据财政预算管理要求，我单位202</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年组织对2021年度部门整体支出全面开展绩效自评。</w:t>
      </w:r>
    </w:p>
    <w:p>
      <w:pPr>
        <w:autoSpaceDE w:val="0"/>
        <w:autoSpaceDN w:val="0"/>
        <w:adjustRightInd w:val="0"/>
        <w:ind w:firstLine="640" w:firstLineChars="200"/>
        <w:jc w:val="left"/>
        <w:rPr>
          <w:rFonts w:hint="eastAsia" w:ascii="仿宋_GB2312" w:hAnsi="仿宋_GB2312" w:eastAsia="仿宋_GB2312" w:cs="仿宋_GB2312"/>
          <w:kern w:val="0"/>
          <w:sz w:val="32"/>
          <w:szCs w:val="32"/>
          <w:lang w:val="zh-CN"/>
        </w:rPr>
      </w:pPr>
    </w:p>
    <w:p>
      <w:pPr>
        <w:autoSpaceDE w:val="0"/>
        <w:autoSpaceDN w:val="0"/>
        <w:adjustRightInd w:val="0"/>
        <w:jc w:val="left"/>
        <w:rPr>
          <w:rFonts w:ascii="宋体" w:cs="宋体"/>
          <w:kern w:val="0"/>
          <w:sz w:val="18"/>
          <w:szCs w:val="18"/>
          <w:lang w:val="zh-CN"/>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65"/>
    <w:multiLevelType w:val="singleLevel"/>
    <w:tmpl w:val="080C6965"/>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71E77883"/>
    <w:multiLevelType w:val="multilevel"/>
    <w:tmpl w:val="71E7788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YmFlNDlhN2UyOGEyMzVjNDEwY2YyM2YzNzY2MzQifQ=="/>
  </w:docVars>
  <w:rsids>
    <w:rsidRoot w:val="007077D7"/>
    <w:rsid w:val="00053CA5"/>
    <w:rsid w:val="000811BD"/>
    <w:rsid w:val="001204D1"/>
    <w:rsid w:val="0018548A"/>
    <w:rsid w:val="003A70AF"/>
    <w:rsid w:val="003F04A0"/>
    <w:rsid w:val="00401F7A"/>
    <w:rsid w:val="00502EF8"/>
    <w:rsid w:val="00653507"/>
    <w:rsid w:val="007052DD"/>
    <w:rsid w:val="007077D7"/>
    <w:rsid w:val="0073527D"/>
    <w:rsid w:val="007C0DA1"/>
    <w:rsid w:val="007F14D7"/>
    <w:rsid w:val="00930A8A"/>
    <w:rsid w:val="009F2FEA"/>
    <w:rsid w:val="00A236F8"/>
    <w:rsid w:val="00A976EA"/>
    <w:rsid w:val="00B21EF6"/>
    <w:rsid w:val="00B74A5B"/>
    <w:rsid w:val="00C0091A"/>
    <w:rsid w:val="00E8305C"/>
    <w:rsid w:val="00EC2952"/>
    <w:rsid w:val="04F805FA"/>
    <w:rsid w:val="058E3D1F"/>
    <w:rsid w:val="074F5564"/>
    <w:rsid w:val="07C004A9"/>
    <w:rsid w:val="09795C96"/>
    <w:rsid w:val="0B046721"/>
    <w:rsid w:val="0B266071"/>
    <w:rsid w:val="0B5622B4"/>
    <w:rsid w:val="0BC55E7E"/>
    <w:rsid w:val="0C6F3E46"/>
    <w:rsid w:val="0C8E5856"/>
    <w:rsid w:val="0E8A6F0A"/>
    <w:rsid w:val="10B2208F"/>
    <w:rsid w:val="11944EB6"/>
    <w:rsid w:val="15EA028F"/>
    <w:rsid w:val="1640136C"/>
    <w:rsid w:val="177607DB"/>
    <w:rsid w:val="186D7C87"/>
    <w:rsid w:val="1A614CE8"/>
    <w:rsid w:val="1B9F38C9"/>
    <w:rsid w:val="1FCF012D"/>
    <w:rsid w:val="1FF67939"/>
    <w:rsid w:val="24306FB9"/>
    <w:rsid w:val="28EE4B50"/>
    <w:rsid w:val="2A586504"/>
    <w:rsid w:val="2BAF7B59"/>
    <w:rsid w:val="2EC976D1"/>
    <w:rsid w:val="2ED41AF4"/>
    <w:rsid w:val="310A57B9"/>
    <w:rsid w:val="343A3FBE"/>
    <w:rsid w:val="36C330A4"/>
    <w:rsid w:val="375C773B"/>
    <w:rsid w:val="39BC6823"/>
    <w:rsid w:val="42CD18B8"/>
    <w:rsid w:val="44AA5F94"/>
    <w:rsid w:val="45B048F7"/>
    <w:rsid w:val="476337AA"/>
    <w:rsid w:val="49850D81"/>
    <w:rsid w:val="4BCA197B"/>
    <w:rsid w:val="4CC27294"/>
    <w:rsid w:val="4D0C182E"/>
    <w:rsid w:val="4EA330F5"/>
    <w:rsid w:val="50452187"/>
    <w:rsid w:val="54060966"/>
    <w:rsid w:val="544C7733"/>
    <w:rsid w:val="557E2B1B"/>
    <w:rsid w:val="5E653F23"/>
    <w:rsid w:val="5F677827"/>
    <w:rsid w:val="62C336D4"/>
    <w:rsid w:val="63B74DDC"/>
    <w:rsid w:val="648B2D06"/>
    <w:rsid w:val="64EC4A56"/>
    <w:rsid w:val="663E2FB5"/>
    <w:rsid w:val="668C47D4"/>
    <w:rsid w:val="69C3229F"/>
    <w:rsid w:val="6A1B2955"/>
    <w:rsid w:val="6A3F7D1E"/>
    <w:rsid w:val="6C0E6790"/>
    <w:rsid w:val="6C337CE2"/>
    <w:rsid w:val="6CB8474B"/>
    <w:rsid w:val="721757A2"/>
    <w:rsid w:val="74AB66DC"/>
    <w:rsid w:val="7A857131"/>
    <w:rsid w:val="7AA1568A"/>
    <w:rsid w:val="7D605873"/>
    <w:rsid w:val="7ED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1"/>
    <w:rPr>
      <w:rFonts w:hint="eastAsia" w:ascii="仿宋" w:hAnsi="仿宋" w:eastAsia="仿宋"/>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5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页眉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6777B-38A4-4D6B-AA9D-2307DACDD86C}">
  <ds:schemaRefs/>
</ds:datastoreItem>
</file>

<file path=docProps/app.xml><?xml version="1.0" encoding="utf-8"?>
<Properties xmlns="http://schemas.openxmlformats.org/officeDocument/2006/extended-properties" xmlns:vt="http://schemas.openxmlformats.org/officeDocument/2006/docPropsVTypes">
  <Template>Normal</Template>
  <Pages>29</Pages>
  <Words>7898</Words>
  <Characters>9188</Characters>
  <Lines>73</Lines>
  <Paragraphs>20</Paragraphs>
  <TotalTime>3</TotalTime>
  <ScaleCrop>false</ScaleCrop>
  <LinksUpToDate>false</LinksUpToDate>
  <CharactersWithSpaces>9534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2022-09-23T03:01:00Z</dcterms:created>
  <dc:creator>Administrator</dc:creator>
  <cp:lastModifiedBy>Administrator</cp:lastModifiedBy>
  <cp:lastPrinted>2023-05-19T02:46:00Z</cp:lastPrinted>
  <dcterms:modified xsi:type="dcterms:W3CDTF">2023-09-28T09:03:31Z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11B155399DA0468FAE0B3366B8278541</vt:lpwstr>
  </property>
</Properties>
</file>