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义马市居民社会养老保险中心</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义马市居民社会养老保险中心概况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黑体"/>
          <w:sz w:val="32"/>
          <w:szCs w:val="32"/>
        </w:rPr>
      </w:pPr>
      <w:r>
        <w:rPr>
          <w:rFonts w:hint="eastAsia" w:ascii="宋体" w:hAnsi="宋体" w:cs="黑体"/>
          <w:sz w:val="32"/>
          <w:szCs w:val="32"/>
        </w:rPr>
        <w:t>一、收入支出决算总表</w:t>
      </w:r>
    </w:p>
    <w:p>
      <w:pPr>
        <w:ind w:firstLine="640" w:firstLineChars="200"/>
        <w:jc w:val="left"/>
        <w:rPr>
          <w:rFonts w:ascii="宋体" w:hAnsi="宋体" w:cs="黑体"/>
          <w:sz w:val="32"/>
          <w:szCs w:val="32"/>
        </w:rPr>
      </w:pPr>
      <w:r>
        <w:rPr>
          <w:rFonts w:hint="eastAsia" w:ascii="宋体" w:hAnsi="宋体" w:cs="黑体"/>
          <w:sz w:val="32"/>
          <w:szCs w:val="32"/>
        </w:rPr>
        <w:t>二、收入决算表</w:t>
      </w:r>
    </w:p>
    <w:p>
      <w:pPr>
        <w:ind w:firstLine="640" w:firstLineChars="200"/>
        <w:jc w:val="left"/>
        <w:rPr>
          <w:rFonts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ascii="宋体" w:hAnsi="宋体" w:cs="黑体"/>
          <w:sz w:val="32"/>
          <w:szCs w:val="32"/>
        </w:rPr>
      </w:pPr>
      <w:r>
        <w:rPr>
          <w:rFonts w:hint="eastAsia" w:ascii="宋体" w:hAnsi="宋体" w:cs="黑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ascii="宋体" w:hAnsi="宋体" w:cs="宋体"/>
          <w:sz w:val="32"/>
          <w:szCs w:val="32"/>
        </w:rPr>
      </w:pPr>
      <w:r>
        <w:rPr>
          <w:rFonts w:hint="eastAsia" w:ascii="宋体" w:hAnsi="宋体" w:cs="宋体"/>
          <w:sz w:val="32"/>
          <w:szCs w:val="32"/>
        </w:rPr>
        <w:t>十二、预算绩效情况说明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（一）贯彻实施全市居民社会养老制度实施及政策落实。</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（二）组织制定居民社会养老保险工作计划、宣传方案、调研计划，了解和收集存在的主要问题，及时研究处理。</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（三）拟定全市居民社会养老保险业务操作规程和管理办法，落实各项经办管理服务工作。负责本市居民社会养老保险的参保登记、个人账户管理、待遇核定与支出、注销登记、关系转移和资格确认等工作。</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（四）监督和指导各办事处社保所业务经办情况。</w:t>
      </w:r>
    </w:p>
    <w:p>
      <w:pPr>
        <w:widowControl/>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（五）负责岗位干部职工思想教育、岗位培训、职业道德教育和作风建设工作。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义马市居民社会养老保险中心系义马市人力资源和社会保障局下设二级机构，负责本单位本级年度决算。</w:t>
      </w:r>
    </w:p>
    <w:p>
      <w:pPr>
        <w:widowControl/>
        <w:jc w:val="left"/>
        <w:rPr>
          <w:rFonts w:ascii="黑体" w:hAnsi="宋体" w:eastAsia="黑体" w:cs="宋体"/>
          <w:kern w:val="0"/>
          <w:sz w:val="28"/>
          <w:szCs w:val="28"/>
        </w:rPr>
      </w:pPr>
    </w:p>
    <w:p>
      <w:pPr>
        <w:widowControl/>
        <w:ind w:firstLine="640" w:firstLineChars="200"/>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部门：义马市居民社会养老保险中心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w:t>
            </w:r>
            <w:r>
              <w:rPr>
                <w:rFonts w:ascii="宋体" w:hAnsi="宋体" w:cs="宋体"/>
                <w:color w:val="000000"/>
                <w:kern w:val="0"/>
                <w:sz w:val="20"/>
                <w:szCs w:val="20"/>
              </w:rPr>
              <w:t>预算财政拨款</w:t>
            </w:r>
            <w:r>
              <w:rPr>
                <w:rFonts w:hint="eastAsia" w:ascii="宋体" w:hAnsi="宋体" w:cs="宋体"/>
                <w:color w:val="000000"/>
                <w:kern w:val="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三、国有资本</w:t>
            </w:r>
            <w:r>
              <w:rPr>
                <w:rFonts w:ascii="宋体" w:hAnsi="宋体" w:cs="宋体"/>
                <w:color w:val="000000"/>
                <w:kern w:val="0"/>
                <w:sz w:val="20"/>
                <w:szCs w:val="20"/>
              </w:rPr>
              <w:t>经营预算财政拨款</w:t>
            </w:r>
            <w:r>
              <w:rPr>
                <w:rFonts w:hint="eastAsia" w:ascii="宋体" w:hAnsi="宋体" w:cs="宋体"/>
                <w:color w:val="000000"/>
                <w:kern w:val="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35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37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59.73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lang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40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十四、资源勘探工业信息等支出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十八、自然资源海洋气象等支出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49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二十一、国有资本经营预算支出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二十二、灾害防治及应急管理支出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二十三、其他支出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二十四、债务还本支出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sz w:val="20"/>
                <w:szCs w:val="20"/>
                <w:lang w:val="en-US" w:eastAsia="zh-CN"/>
              </w:rPr>
              <w:t>二十五、债务付息支出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bidi="ar"/>
              </w:rPr>
              <w:t>56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lang w:val="en-US" w:eastAsia="zh-CN"/>
              </w:rPr>
              <w:t>二十六、抗疫特别国债安排的支出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58</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r>
              <w:rPr>
                <w:rFonts w:hint="eastAsia" w:ascii="宋体" w:hAnsi="宋体" w:cs="宋体"/>
                <w:b/>
                <w:color w:val="000000"/>
                <w:sz w:val="20"/>
                <w:szCs w:val="20"/>
              </w:rPr>
              <w:t>66.36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使用非</w:t>
            </w:r>
            <w:r>
              <w:rPr>
                <w:rFonts w:ascii="宋体" w:hAnsi="宋体" w:cs="宋体"/>
                <w:color w:val="000000"/>
                <w:kern w:val="0"/>
                <w:sz w:val="20"/>
                <w:szCs w:val="20"/>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59</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60</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30</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61</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31</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62</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r>
              <w:rPr>
                <w:rFonts w:hint="eastAsia" w:ascii="宋体" w:hAnsi="宋体" w:cs="宋体"/>
                <w:b/>
                <w:color w:val="000000"/>
                <w:sz w:val="20"/>
                <w:szCs w:val="20"/>
              </w:rPr>
              <w:t>66.36</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1027"/>
        <w:gridCol w:w="59"/>
        <w:gridCol w:w="3324"/>
        <w:gridCol w:w="50"/>
        <w:gridCol w:w="1084"/>
        <w:gridCol w:w="469"/>
        <w:gridCol w:w="665"/>
        <w:gridCol w:w="888"/>
        <w:gridCol w:w="387"/>
        <w:gridCol w:w="1166"/>
        <w:gridCol w:w="394"/>
        <w:gridCol w:w="1159"/>
        <w:gridCol w:w="542"/>
        <w:gridCol w:w="837"/>
        <w:gridCol w:w="722"/>
        <w:gridCol w:w="1072"/>
      </w:tblGrid>
      <w:tr>
        <w:tblPrEx>
          <w:tblCellMar>
            <w:top w:w="0" w:type="dxa"/>
            <w:left w:w="0" w:type="dxa"/>
            <w:bottom w:w="0" w:type="dxa"/>
            <w:right w:w="0" w:type="dxa"/>
          </w:tblCellMar>
        </w:tblPrEx>
        <w:trPr>
          <w:wAfter w:w="0" w:type="auto"/>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32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7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0" w:type="dxa"/>
            <w:bottom w:w="0" w:type="dxa"/>
            <w:right w:w="0" w:type="dxa"/>
          </w:tblCellMar>
        </w:tblPrEx>
        <w:trPr>
          <w:trHeight w:val="300" w:hRule="atLeast"/>
        </w:trPr>
        <w:tc>
          <w:tcPr>
            <w:tcW w:w="1086"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kern w:val="0"/>
                <w:sz w:val="20"/>
                <w:szCs w:val="20"/>
              </w:rPr>
              <w:t>部门：</w:t>
            </w:r>
          </w:p>
        </w:tc>
        <w:tc>
          <w:tcPr>
            <w:tcW w:w="3324" w:type="dxa"/>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义马市居民社会养老保险中心</w:t>
            </w:r>
            <w:r>
              <w:rPr>
                <w:rFonts w:hint="eastAsia" w:ascii="宋体" w:hAnsi="宋体" w:cs="宋体"/>
                <w:color w:val="000000"/>
                <w:sz w:val="20"/>
                <w:szCs w:val="20"/>
              </w:rPr>
              <w:t xml:space="preserve">  </w:t>
            </w: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7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94"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wAfter w:w="0" w:type="auto"/>
          <w:trHeight w:val="450" w:hRule="atLeast"/>
        </w:trPr>
        <w:tc>
          <w:tcPr>
            <w:tcW w:w="4410"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2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5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70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07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wAfter w:w="0" w:type="auto"/>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33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7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3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7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4410"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07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wAfter w:w="0" w:type="auto"/>
          <w:trHeight w:val="450" w:hRule="atLeast"/>
        </w:trPr>
        <w:tc>
          <w:tcPr>
            <w:tcW w:w="4410"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Arial" w:asciiTheme="minorEastAsia" w:hAnsiTheme="minorEastAsia" w:eastAsiaTheme="minorEastAsia"/>
                <w:color w:val="000000"/>
                <w:sz w:val="22"/>
              </w:rPr>
            </w:pPr>
            <w:r>
              <w:rPr>
                <w:rFonts w:hint="eastAsia" w:cs="Arial" w:asciiTheme="minorEastAsia" w:hAnsiTheme="minorEastAsia" w:eastAsiaTheme="minorEastAsia"/>
                <w:color w:val="000000"/>
                <w:sz w:val="22"/>
              </w:rPr>
              <w:t>208</w:t>
            </w:r>
          </w:p>
        </w:tc>
        <w:tc>
          <w:tcPr>
            <w:tcW w:w="3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社会保障和就业支出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61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20801</w:t>
            </w:r>
          </w:p>
        </w:tc>
        <w:tc>
          <w:tcPr>
            <w:tcW w:w="3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人力资源和社会保障管理事务</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rPr>
              <w:t>52.55</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52.55</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2080109</w:t>
            </w:r>
          </w:p>
        </w:tc>
        <w:tc>
          <w:tcPr>
            <w:tcW w:w="3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社会保险经办机构</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3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行政事业单位养老支出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3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机关事业单位基本养老保险缴费支出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2080506</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机关事业单位职业年金缴费支出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卫生健康支出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行政事业单位医疗</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事业单位医疗</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住房保障支出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住房改革支出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住房公积金</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332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wAfter w:w="0" w:type="auto"/>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398" w:type="dxa"/>
        <w:tblInd w:w="0" w:type="dxa"/>
        <w:tblLayout w:type="fixed"/>
        <w:tblCellMar>
          <w:top w:w="0" w:type="dxa"/>
          <w:left w:w="0" w:type="dxa"/>
          <w:bottom w:w="0" w:type="dxa"/>
          <w:right w:w="0" w:type="dxa"/>
        </w:tblCellMar>
      </w:tblPr>
      <w:tblGrid>
        <w:gridCol w:w="1120"/>
        <w:gridCol w:w="63"/>
        <w:gridCol w:w="27"/>
        <w:gridCol w:w="3483"/>
        <w:gridCol w:w="50"/>
        <w:gridCol w:w="1368"/>
        <w:gridCol w:w="434"/>
        <w:gridCol w:w="1125"/>
        <w:gridCol w:w="676"/>
        <w:gridCol w:w="883"/>
        <w:gridCol w:w="919"/>
        <w:gridCol w:w="782"/>
        <w:gridCol w:w="1019"/>
        <w:gridCol w:w="540"/>
        <w:gridCol w:w="1499"/>
        <w:gridCol w:w="410"/>
      </w:tblGrid>
      <w:tr>
        <w:tblPrEx>
          <w:tblCellMar>
            <w:top w:w="0" w:type="dxa"/>
            <w:left w:w="0" w:type="dxa"/>
            <w:bottom w:w="0" w:type="dxa"/>
            <w:right w:w="0" w:type="dxa"/>
          </w:tblCellMar>
        </w:tblPrEx>
        <w:trPr>
          <w:gridAfter w:val="1"/>
          <w:wAfter w:w="410" w:type="dxa"/>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8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0" w:type="dxa"/>
            <w:bottom w:w="0" w:type="dxa"/>
            <w:right w:w="0" w:type="dxa"/>
          </w:tblCellMar>
        </w:tblPrEx>
        <w:trPr>
          <w:trHeight w:val="300" w:hRule="atLeast"/>
        </w:trPr>
        <w:tc>
          <w:tcPr>
            <w:tcW w:w="1210"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kern w:val="0"/>
                <w:sz w:val="20"/>
                <w:szCs w:val="20"/>
              </w:rPr>
              <w:t>部门：</w:t>
            </w:r>
          </w:p>
        </w:tc>
        <w:tc>
          <w:tcPr>
            <w:tcW w:w="3483" w:type="dxa"/>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义马市居民社会养老保险中心</w:t>
            </w:r>
            <w:r>
              <w:rPr>
                <w:rFonts w:hint="eastAsia" w:ascii="宋体" w:hAnsi="宋体" w:cs="宋体"/>
                <w:color w:val="000000"/>
                <w:sz w:val="20"/>
                <w:szCs w:val="20"/>
              </w:rPr>
              <w:t xml:space="preserve">  </w:t>
            </w: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70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55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49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gridAfter w:val="1"/>
          <w:wAfter w:w="410" w:type="dxa"/>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35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9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5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5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9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gridAfter w:val="1"/>
          <w:wAfter w:w="410" w:type="dxa"/>
          <w:trHeight w:val="450" w:hRule="atLeast"/>
        </w:trPr>
        <w:tc>
          <w:tcPr>
            <w:tcW w:w="4693"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208</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社会保障和就业支出</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20801</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人力资源和社会保障管理事务</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rPr>
              <w:t>52.55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52.55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lang w:val="en-US" w:eastAsia="zh-CN"/>
              </w:rPr>
              <w:t>2080109</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社会保险经办机构</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行政事业单位养老支出</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机关事业单位基本养老保险缴费支出</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2080506</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机关事业单位职业年金缴费支出</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卫生健康支出</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行政事业单位医疗</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事业单位医疗</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住房保障支出</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住房改革支出</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住房公积金</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3510"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70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55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gridAfter w:val="1"/>
          <w:wAfter w:w="410" w:type="dxa"/>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3417"/>
        <w:gridCol w:w="1297"/>
        <w:gridCol w:w="1210"/>
        <w:gridCol w:w="2596"/>
        <w:gridCol w:w="993"/>
        <w:gridCol w:w="567"/>
        <w:gridCol w:w="1275"/>
        <w:gridCol w:w="61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c>
          <w:tcPr>
            <w:tcW w:w="1058" w:type="dxa"/>
            <w:tcBorders>
              <w:top w:val="nil"/>
              <w:left w:val="nil"/>
              <w:bottom w:val="nil"/>
              <w:right w:val="nil"/>
            </w:tcBorders>
          </w:tcPr>
          <w:p>
            <w:pPr>
              <w:widowControl/>
              <w:jc w:val="center"/>
              <w:textAlignment w:val="center"/>
              <w:rPr>
                <w:rFonts w:ascii="华文中宋" w:hAnsi="华文中宋" w:eastAsia="华文中宋" w:cs="华文中宋"/>
                <w:color w:val="000000"/>
                <w:kern w:val="0"/>
                <w:sz w:val="32"/>
                <w:szCs w:val="32"/>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部门：义马市居民社会养老保险中心</w:t>
            </w:r>
            <w:r>
              <w:rPr>
                <w:rFonts w:hint="eastAsia" w:ascii="宋体" w:hAnsi="宋体" w:cs="宋体"/>
                <w:color w:val="000000"/>
                <w:sz w:val="20"/>
                <w:szCs w:val="20"/>
              </w:rPr>
              <w:t xml:space="preserve">  </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33</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34</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2"/>
                <w:sz w:val="20"/>
                <w:szCs w:val="20"/>
                <w:lang w:val="en-US" w:eastAsia="zh-CN" w:bidi="ar-SA"/>
              </w:rPr>
              <w:t>三、国防支出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35</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四、公共安全支出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36</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五、教育支出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37</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38</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七、文化旅游体育与传媒支出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39</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八、社会保障和就业支出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40</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59.73</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59.73</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九、卫生健康支出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41</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十、节能环保支出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42</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十一、城乡社区支出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43</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十二、农林水支出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44</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十三、交通运输支出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45</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十四、资源勘探工业信息等支出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46</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十五、商业服务业等支出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47</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十六、金融支出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48</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十七、援助其他地区支出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49</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十八、自然资源海洋气象等支出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50</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十九、住房保障支出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51</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4.23</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4.23</w:t>
            </w:r>
            <w:bookmarkStart w:id="0" w:name="_GoBack"/>
            <w:bookmarkEnd w:id="0"/>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二十、粮油物资储备支出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52</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二十一、国有资本经营预算支出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53</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cs="宋体"/>
                <w:color w:val="000000"/>
                <w:kern w:val="2"/>
                <w:sz w:val="20"/>
                <w:szCs w:val="20"/>
                <w:lang w:val="en-US" w:eastAsia="zh-CN" w:bidi="ar-SA"/>
              </w:rPr>
              <w:t>二十二、灾害防治及应急管理支出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2"/>
                <w:sz w:val="20"/>
                <w:szCs w:val="20"/>
                <w:lang w:val="en-US" w:eastAsia="zh-CN" w:bidi="ar-SA"/>
              </w:rPr>
              <w:t>54</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二十三、其他支出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55</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二十四、债务还本支出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56</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二十五、债务付息支出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57</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二十六、抗疫特别国债安排的支出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58</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59</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66.36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66.36</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60</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29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61</w:t>
            </w:r>
          </w:p>
        </w:tc>
        <w:tc>
          <w:tcPr>
            <w:tcW w:w="567"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30</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62</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c>
          <w:tcPr>
            <w:tcW w:w="1058" w:type="dxa"/>
            <w:tcBorders>
              <w:top w:val="single" w:color="000000" w:sz="4" w:space="0"/>
              <w:left w:val="nil"/>
              <w:bottom w:val="nil"/>
              <w:right w:val="single" w:color="000000" w:sz="8"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31</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63</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c>
          <w:tcPr>
            <w:tcW w:w="1058" w:type="dxa"/>
            <w:tcBorders>
              <w:top w:val="single" w:color="000000" w:sz="4" w:space="0"/>
              <w:left w:val="nil"/>
              <w:bottom w:val="nil"/>
              <w:right w:val="single" w:color="000000" w:sz="8" w:space="0"/>
            </w:tcBorders>
          </w:tcPr>
          <w:p>
            <w:pP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32</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66.36</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b/>
                <w:color w:val="000000"/>
                <w:sz w:val="20"/>
                <w:szCs w:val="20"/>
              </w:rPr>
            </w:pPr>
            <w:r>
              <w:rPr>
                <w:rFonts w:hint="eastAsia" w:ascii="宋体" w:hAnsi="宋体" w:cs="宋体"/>
                <w:color w:val="000000"/>
                <w:kern w:val="2"/>
                <w:sz w:val="20"/>
                <w:szCs w:val="20"/>
                <w:lang w:val="en-US" w:eastAsia="zh-CN" w:bidi="ar-SA"/>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2"/>
                <w:sz w:val="20"/>
                <w:szCs w:val="20"/>
                <w:lang w:val="en-US" w:eastAsia="zh-CN" w:bidi="ar-SA"/>
              </w:rPr>
              <w:t>64</w:t>
            </w:r>
          </w:p>
        </w:tc>
        <w:tc>
          <w:tcPr>
            <w:tcW w:w="567"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66.36</w:t>
            </w: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66.36</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c>
          <w:tcPr>
            <w:tcW w:w="1058" w:type="dxa"/>
            <w:tcBorders>
              <w:top w:val="single" w:color="000000" w:sz="4" w:space="0"/>
              <w:left w:val="nil"/>
              <w:bottom w:val="single" w:color="000000" w:sz="8" w:space="0"/>
              <w:right w:val="single" w:color="000000" w:sz="8" w:space="0"/>
            </w:tcBorders>
          </w:tcPr>
          <w:p>
            <w:pPr>
              <w:rPr>
                <w:rFonts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tcPr>
          <w:p>
            <w:pPr>
              <w:widowControl/>
              <w:jc w:val="left"/>
              <w:textAlignment w:val="center"/>
              <w:rPr>
                <w:rFonts w:ascii="宋体" w:hAnsi="宋体" w:cs="宋体"/>
                <w:color w:val="000000"/>
                <w:kern w:val="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14"/>
                <w:rFonts w:hint="default"/>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部门：义马市居民社会养老保险中心</w:t>
            </w:r>
            <w:r>
              <w:rPr>
                <w:rFonts w:hint="eastAsia" w:ascii="宋体" w:hAnsi="宋体" w:cs="宋体"/>
                <w:color w:val="000000"/>
                <w:sz w:val="20"/>
                <w:szCs w:val="20"/>
              </w:rPr>
              <w:t xml:space="preserve">  </w:t>
            </w: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9"/>
                <w:rFonts w:hint="default"/>
                <w:sz w:val="20"/>
                <w:szCs w:val="20"/>
              </w:rPr>
              <w:t xml:space="preserve">   </w:t>
            </w:r>
            <w:r>
              <w:rPr>
                <w:rStyle w:val="13"/>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66.36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66.36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Arial" w:asciiTheme="minorEastAsia" w:hAnsiTheme="minorEastAsia" w:eastAsiaTheme="minorEastAsia"/>
                <w:color w:val="000000"/>
                <w:sz w:val="22"/>
              </w:rPr>
            </w:pPr>
            <w:r>
              <w:rPr>
                <w:rFonts w:hint="eastAsia" w:cs="Arial" w:asciiTheme="minorEastAsia" w:hAnsiTheme="minorEastAsia" w:eastAsiaTheme="minorEastAsia"/>
                <w:color w:val="000000"/>
                <w:sz w:val="22"/>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59.73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人力资源和社会保障管理事务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华文中宋" w:asciiTheme="minorEastAsia" w:hAnsiTheme="minorEastAsia" w:eastAsiaTheme="minorEastAsia"/>
                <w:color w:val="000000"/>
                <w:sz w:val="20"/>
                <w:szCs w:val="20"/>
              </w:rPr>
            </w:pPr>
            <w:r>
              <w:rPr>
                <w:rFonts w:hint="eastAsia" w:cs="华文中宋" w:asciiTheme="minorEastAsia" w:hAnsiTheme="minorEastAsia" w:eastAsiaTheme="minorEastAsia"/>
                <w:color w:val="000000"/>
                <w:sz w:val="20"/>
                <w:szCs w:val="20"/>
              </w:rPr>
              <w:t>52.55</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52.55</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lang w:val="en-US" w:eastAsia="zh-CN"/>
              </w:rPr>
              <w:t>2080109</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社会保险经办机构</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52.55</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7.18</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5.15</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2080506</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机关事业单位职业年金缴费支出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2.03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卫生健康支出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行政事业单位医疗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事业单位医疗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2.40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住房保障支出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住房改革支出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Arial"/>
                <w:color w:val="000000"/>
                <w:sz w:val="22"/>
              </w:rPr>
            </w:pPr>
            <w:r>
              <w:rPr>
                <w:rFonts w:hint="eastAsia" w:cs="Arial"/>
                <w:color w:val="000000"/>
                <w:sz w:val="22"/>
              </w:rPr>
              <w:t xml:space="preserve">  住房公积金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4.23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rPr>
              <w:t>部门</w:t>
            </w:r>
            <w:r>
              <w:rPr>
                <w:rFonts w:ascii="Arial" w:hAnsi="Arial" w:cs="Arial"/>
                <w:color w:val="000000"/>
                <w:kern w:val="0"/>
                <w:sz w:val="20"/>
                <w:szCs w:val="20"/>
              </w:rPr>
              <w:t>：</w:t>
            </w:r>
            <w:r>
              <w:rPr>
                <w:rFonts w:hint="eastAsia" w:ascii="宋体" w:hAnsi="宋体" w:cs="宋体"/>
                <w:color w:val="000000"/>
                <w:kern w:val="0"/>
                <w:sz w:val="20"/>
                <w:szCs w:val="20"/>
              </w:rPr>
              <w:t>义马市居民社会养老保险中心</w:t>
            </w:r>
            <w:r>
              <w:rPr>
                <w:rFonts w:hint="eastAsia" w:ascii="宋体" w:hAnsi="宋体" w:cs="宋体"/>
                <w:color w:val="000000"/>
                <w:sz w:val="20"/>
                <w:szCs w:val="20"/>
              </w:rPr>
              <w:t xml:space="preserve">  </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52.57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34.78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2.31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4.23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8.56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52.57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13.79</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部门：义马市居民社会养老保险中心</w:t>
            </w:r>
            <w:r>
              <w:rPr>
                <w:rFonts w:hint="eastAsia" w:ascii="宋体" w:hAnsi="宋体" w:cs="宋体"/>
                <w:color w:val="000000"/>
                <w:sz w:val="20"/>
                <w:szCs w:val="20"/>
              </w:rPr>
              <w:t xml:space="preserve">  </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注：本表反映部门本年度“三公”经费支出预决算情况。其中，</w:t>
            </w:r>
            <w:r>
              <w:rPr>
                <w:rStyle w:val="16"/>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p>
            <w:pPr>
              <w:widowControl/>
              <w:jc w:val="left"/>
              <w:textAlignment w:val="center"/>
              <w:rPr>
                <w:rFonts w:ascii="宋体" w:hAnsi="宋体" w:cs="宋体"/>
                <w:color w:val="000000"/>
                <w:sz w:val="22"/>
              </w:rPr>
            </w:pPr>
            <w:r>
              <w:rPr>
                <w:rFonts w:hint="eastAsia" w:ascii="宋体" w:hAnsi="宋体" w:cs="宋体"/>
                <w:bCs/>
                <w:kern w:val="0"/>
                <w:sz w:val="24"/>
                <w:szCs w:val="24"/>
              </w:rPr>
              <w:t>说明：</w:t>
            </w:r>
            <w:r>
              <w:rPr>
                <w:rFonts w:hint="eastAsia" w:ascii="宋体" w:hAnsi="宋体" w:eastAsia="宋体" w:cs="宋体"/>
                <w:bCs/>
                <w:kern w:val="0"/>
                <w:sz w:val="24"/>
                <w:szCs w:val="24"/>
              </w:rPr>
              <w:t>我部门没有财政拨款“三公”经费支出，故本表无数据。</w:t>
            </w:r>
          </w:p>
          <w:p>
            <w:pPr>
              <w:widowControl/>
              <w:jc w:val="left"/>
              <w:textAlignment w:val="center"/>
              <w:rPr>
                <w:rFonts w:hint="eastAsia" w:ascii="宋体" w:hAnsi="宋体" w:cs="宋体"/>
                <w:color w:val="000000"/>
                <w:kern w:val="0"/>
                <w:sz w:val="20"/>
                <w:szCs w:val="20"/>
              </w:rPr>
            </w:pPr>
          </w:p>
          <w:p>
            <w:pPr>
              <w:widowControl/>
              <w:jc w:val="left"/>
              <w:textAlignment w:val="center"/>
              <w:rPr>
                <w:rFonts w:hint="eastAsia" w:ascii="宋体" w:hAnsi="宋体" w:cs="宋体"/>
                <w:color w:val="000000"/>
                <w:kern w:val="0"/>
                <w:sz w:val="20"/>
                <w:szCs w:val="20"/>
              </w:rPr>
            </w:pP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4018" w:type="dxa"/>
        <w:tblInd w:w="0" w:type="dxa"/>
        <w:tblLayout w:type="fixed"/>
        <w:tblCellMar>
          <w:top w:w="0" w:type="dxa"/>
          <w:left w:w="0" w:type="dxa"/>
          <w:bottom w:w="0" w:type="dxa"/>
          <w:right w:w="0" w:type="dxa"/>
        </w:tblCellMar>
      </w:tblPr>
      <w:tblGrid>
        <w:gridCol w:w="612"/>
        <w:gridCol w:w="536"/>
        <w:gridCol w:w="1276"/>
        <w:gridCol w:w="1926"/>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4"/>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4380" w:type="dxa"/>
            <w:gridSpan w:val="5"/>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 xml:space="preserve">部门：义马市居民社会养老保险中心                                         </w:t>
            </w:r>
            <w:r>
              <w:rPr>
                <w:rFonts w:hint="eastAsia" w:ascii="宋体" w:hAnsi="宋体" w:cs="宋体"/>
                <w:color w:val="000000"/>
                <w:sz w:val="20"/>
                <w:szCs w:val="20"/>
              </w:rPr>
              <w:t xml:space="preserve"> </w:t>
            </w: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6"/>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gridSpan w:val="2"/>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4"/>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一、收入支出决算总体情况说明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年度收、支总计均为</w:t>
      </w:r>
      <w:r>
        <w:rPr>
          <w:rFonts w:ascii="仿宋_GB2312" w:eastAsia="仿宋_GB2312" w:cs="仿宋_GB2312"/>
          <w:sz w:val="32"/>
          <w:szCs w:val="32"/>
        </w:rPr>
        <w:t>66.36</w:t>
      </w:r>
      <w:r>
        <w:rPr>
          <w:rFonts w:hint="eastAsia" w:ascii="仿宋_GB2312" w:eastAsia="仿宋_GB2312" w:cs="仿宋_GB2312"/>
          <w:sz w:val="32"/>
          <w:szCs w:val="32"/>
        </w:rPr>
        <w:t>万元。与上年度相比，收、支总计各增加</w:t>
      </w:r>
      <w:r>
        <w:rPr>
          <w:rFonts w:ascii="仿宋_GB2312" w:eastAsia="仿宋_GB2312" w:cs="仿宋_GB2312"/>
          <w:sz w:val="32"/>
          <w:szCs w:val="32"/>
        </w:rPr>
        <w:t>8.24</w:t>
      </w:r>
      <w:r>
        <w:rPr>
          <w:rFonts w:hint="eastAsia" w:ascii="仿宋_GB2312" w:eastAsia="仿宋_GB2312" w:cs="仿宋_GB2312"/>
          <w:sz w:val="32"/>
          <w:szCs w:val="32"/>
        </w:rPr>
        <w:t>万元，增长</w:t>
      </w:r>
      <w:r>
        <w:rPr>
          <w:rFonts w:ascii="仿宋_GB2312" w:eastAsia="仿宋_GB2312" w:cs="仿宋_GB2312"/>
          <w:sz w:val="32"/>
          <w:szCs w:val="32"/>
        </w:rPr>
        <w:t>14.17%</w:t>
      </w:r>
      <w:r>
        <w:rPr>
          <w:rFonts w:hint="eastAsia" w:ascii="仿宋_GB2312" w:eastAsia="仿宋_GB2312" w:cs="仿宋_GB2312"/>
          <w:sz w:val="32"/>
          <w:szCs w:val="32"/>
        </w:rPr>
        <w:t>。主要原因是人员工资薪金增长和管理事务增加。</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二、收入决算情况说明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年度收入合计</w:t>
      </w:r>
      <w:r>
        <w:rPr>
          <w:rFonts w:ascii="仿宋_GB2312" w:eastAsia="仿宋_GB2312" w:cs="仿宋_GB2312"/>
          <w:sz w:val="32"/>
          <w:szCs w:val="32"/>
        </w:rPr>
        <w:t>66.36</w:t>
      </w:r>
      <w:r>
        <w:rPr>
          <w:rFonts w:hint="eastAsia" w:ascii="仿宋_GB2312" w:eastAsia="仿宋_GB2312" w:cs="仿宋_GB2312"/>
          <w:sz w:val="32"/>
          <w:szCs w:val="32"/>
        </w:rPr>
        <w:t>万元，其中：财政拨款收入</w:t>
      </w:r>
      <w:r>
        <w:rPr>
          <w:rFonts w:ascii="仿宋_GB2312" w:eastAsia="仿宋_GB2312" w:cs="仿宋_GB2312"/>
          <w:sz w:val="32"/>
          <w:szCs w:val="32"/>
        </w:rPr>
        <w:t>66.36</w:t>
      </w:r>
      <w:r>
        <w:rPr>
          <w:rFonts w:hint="eastAsia" w:ascii="仿宋_GB2312" w:eastAsia="仿宋_GB2312" w:cs="仿宋_GB2312"/>
          <w:sz w:val="32"/>
          <w:szCs w:val="32"/>
        </w:rPr>
        <w:t>万元，占</w:t>
      </w:r>
      <w:r>
        <w:rPr>
          <w:rFonts w:ascii="仿宋_GB2312" w:eastAsia="仿宋_GB2312" w:cs="仿宋_GB2312"/>
          <w:sz w:val="32"/>
          <w:szCs w:val="32"/>
        </w:rPr>
        <w:t>100%</w:t>
      </w:r>
      <w:r>
        <w:rPr>
          <w:rFonts w:hint="eastAsia" w:ascii="仿宋_GB2312" w:eastAsia="仿宋_GB2312" w:cs="仿宋_GB2312"/>
          <w:sz w:val="32"/>
          <w:szCs w:val="32"/>
        </w:rPr>
        <w:t>；上级补助收入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；事业收入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；附属单位上缴收入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；其他收入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三、支出决算情况说明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年度支出合计</w:t>
      </w:r>
      <w:r>
        <w:rPr>
          <w:rFonts w:ascii="仿宋_GB2312" w:eastAsia="仿宋_GB2312" w:cs="仿宋_GB2312"/>
          <w:sz w:val="32"/>
          <w:szCs w:val="32"/>
        </w:rPr>
        <w:t>66.36</w:t>
      </w:r>
      <w:r>
        <w:rPr>
          <w:rFonts w:hint="eastAsia" w:ascii="仿宋_GB2312" w:eastAsia="仿宋_GB2312" w:cs="仿宋_GB2312"/>
          <w:sz w:val="32"/>
          <w:szCs w:val="32"/>
        </w:rPr>
        <w:t>万元，其中：基本支出</w:t>
      </w:r>
      <w:r>
        <w:rPr>
          <w:rFonts w:ascii="仿宋_GB2312" w:eastAsia="仿宋_GB2312" w:cs="仿宋_GB2312"/>
          <w:sz w:val="32"/>
          <w:szCs w:val="32"/>
        </w:rPr>
        <w:t>66.36</w:t>
      </w:r>
      <w:r>
        <w:rPr>
          <w:rFonts w:hint="eastAsia" w:ascii="仿宋_GB2312" w:eastAsia="仿宋_GB2312" w:cs="仿宋_GB2312"/>
          <w:sz w:val="32"/>
          <w:szCs w:val="32"/>
        </w:rPr>
        <w:t>万元，占</w:t>
      </w:r>
      <w:r>
        <w:rPr>
          <w:rFonts w:ascii="仿宋_GB2312" w:eastAsia="仿宋_GB2312" w:cs="仿宋_GB2312"/>
          <w:sz w:val="32"/>
          <w:szCs w:val="32"/>
        </w:rPr>
        <w:t>100%</w:t>
      </w:r>
      <w:r>
        <w:rPr>
          <w:rFonts w:hint="eastAsia" w:ascii="仿宋_GB2312" w:eastAsia="仿宋_GB2312" w:cs="仿宋_GB2312"/>
          <w:sz w:val="32"/>
          <w:szCs w:val="32"/>
        </w:rPr>
        <w:t>；项目支出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；上缴上级支出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；对附属单位补助支出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四、财政拨款收入支出决算总体情况说明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年度财政拨款收、支总计均为</w:t>
      </w:r>
      <w:r>
        <w:rPr>
          <w:rFonts w:ascii="仿宋_GB2312" w:eastAsia="仿宋_GB2312" w:cs="仿宋_GB2312"/>
          <w:sz w:val="32"/>
          <w:szCs w:val="32"/>
        </w:rPr>
        <w:t>66.36</w:t>
      </w:r>
      <w:r>
        <w:rPr>
          <w:rFonts w:hint="eastAsia" w:ascii="仿宋_GB2312" w:eastAsia="仿宋_GB2312" w:cs="仿宋_GB2312"/>
          <w:sz w:val="32"/>
          <w:szCs w:val="32"/>
        </w:rPr>
        <w:t>万元。与上年度相比，财政拨款收、支总计各增加</w:t>
      </w:r>
      <w:r>
        <w:rPr>
          <w:rFonts w:ascii="仿宋_GB2312" w:eastAsia="仿宋_GB2312" w:cs="仿宋_GB2312"/>
          <w:sz w:val="32"/>
          <w:szCs w:val="32"/>
        </w:rPr>
        <w:t>8.24</w:t>
      </w:r>
      <w:r>
        <w:rPr>
          <w:rFonts w:hint="eastAsia" w:ascii="仿宋_GB2312" w:eastAsia="仿宋_GB2312" w:cs="仿宋_GB2312"/>
          <w:sz w:val="32"/>
          <w:szCs w:val="32"/>
        </w:rPr>
        <w:t>万元，增长</w:t>
      </w:r>
      <w:r>
        <w:rPr>
          <w:rFonts w:ascii="仿宋_GB2312" w:eastAsia="仿宋_GB2312" w:cs="仿宋_GB2312"/>
          <w:sz w:val="32"/>
          <w:szCs w:val="32"/>
        </w:rPr>
        <w:t>14.17%</w:t>
      </w:r>
      <w:r>
        <w:rPr>
          <w:rFonts w:hint="eastAsia" w:ascii="仿宋_GB2312" w:eastAsia="仿宋_GB2312" w:cs="仿宋_GB2312"/>
          <w:sz w:val="32"/>
          <w:szCs w:val="32"/>
        </w:rPr>
        <w:t>。主要原因是人员工资薪金增长和管理事务增加。</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五、一般公共预算财政拨款支出决算情况说明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（一）总体情况。</w:t>
      </w:r>
    </w:p>
    <w:p>
      <w:pPr>
        <w:autoSpaceDE w:val="0"/>
        <w:autoSpaceDN w:val="0"/>
        <w:adjustRightInd w:val="0"/>
        <w:jc w:val="left"/>
        <w:rPr>
          <w:rFonts w:ascii="宋体" w:cs="宋体"/>
          <w:kern w:val="0"/>
          <w:sz w:val="18"/>
          <w:szCs w:val="18"/>
          <w:lang w:val="zh-CN"/>
        </w:rPr>
      </w:pPr>
      <w:r>
        <w:rPr>
          <w:rFonts w:ascii="仿宋_GB2312" w:eastAsia="仿宋_GB2312" w:cs="仿宋_GB2312"/>
          <w:sz w:val="32"/>
          <w:szCs w:val="32"/>
        </w:rPr>
        <w:t xml:space="preserve">    2021</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66.36</w:t>
      </w:r>
      <w:r>
        <w:rPr>
          <w:rFonts w:hint="eastAsia" w:ascii="仿宋_GB2312" w:eastAsia="仿宋_GB2312" w:cs="仿宋_GB2312"/>
          <w:sz w:val="32"/>
          <w:szCs w:val="32"/>
        </w:rPr>
        <w:t>万元，占支出合计的</w:t>
      </w:r>
      <w:r>
        <w:rPr>
          <w:rFonts w:ascii="仿宋_GB2312" w:eastAsia="仿宋_GB2312" w:cs="仿宋_GB2312"/>
          <w:sz w:val="32"/>
          <w:szCs w:val="32"/>
        </w:rPr>
        <w:t>100%</w:t>
      </w:r>
      <w:r>
        <w:rPr>
          <w:rFonts w:hint="eastAsia" w:ascii="仿宋_GB2312" w:eastAsia="仿宋_GB2312" w:cs="仿宋_GB2312"/>
          <w:sz w:val="32"/>
          <w:szCs w:val="32"/>
        </w:rPr>
        <w:t>。与上年度相比，一般公共预算财政拨款支出增加</w:t>
      </w:r>
      <w:r>
        <w:rPr>
          <w:rFonts w:ascii="仿宋_GB2312" w:eastAsia="仿宋_GB2312" w:cs="仿宋_GB2312"/>
          <w:sz w:val="32"/>
          <w:szCs w:val="32"/>
        </w:rPr>
        <w:t>8.24</w:t>
      </w:r>
      <w:r>
        <w:rPr>
          <w:rFonts w:hint="eastAsia" w:ascii="仿宋_GB2312" w:eastAsia="仿宋_GB2312" w:cs="仿宋_GB2312"/>
          <w:sz w:val="32"/>
          <w:szCs w:val="32"/>
        </w:rPr>
        <w:t>万元，增长</w:t>
      </w:r>
      <w:r>
        <w:rPr>
          <w:rFonts w:ascii="仿宋_GB2312" w:eastAsia="仿宋_GB2312" w:cs="仿宋_GB2312"/>
          <w:sz w:val="32"/>
          <w:szCs w:val="32"/>
        </w:rPr>
        <w:t>14.17%</w:t>
      </w:r>
      <w:r>
        <w:rPr>
          <w:rFonts w:hint="eastAsia" w:ascii="仿宋_GB2312" w:eastAsia="仿宋_GB2312" w:cs="仿宋_GB2312"/>
          <w:sz w:val="32"/>
          <w:szCs w:val="32"/>
        </w:rPr>
        <w:t>。主要原因是人员工资薪金增长和管理事务增加。</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（二）结构情况。</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66.36</w:t>
      </w:r>
      <w:r>
        <w:rPr>
          <w:rFonts w:hint="eastAsia" w:ascii="仿宋_GB2312" w:eastAsia="仿宋_GB2312" w:cs="仿宋_GB2312"/>
          <w:sz w:val="32"/>
          <w:szCs w:val="32"/>
        </w:rPr>
        <w:t>万元，主要用于以下方面：</w:t>
      </w:r>
      <w:r>
        <w:rPr>
          <w:rFonts w:hint="eastAsia" w:ascii="仿宋_GB2312" w:hAnsi="仿宋_GB2312" w:eastAsia="仿宋_GB2312" w:cs="仿宋_GB2312"/>
          <w:sz w:val="32"/>
          <w:szCs w:val="32"/>
        </w:rPr>
        <w:t>一般公共服务（类）支出0万元，占0%；社会保障和就业（类）支出59.73万元，占90.01%；医疗卫生和计划生育（类）支出2.40万元，占3.62%；住房保障（类）支出4.23万元，占6.37%。</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（三）具体情况。</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年度一般公共预算财政拨款支出年初预算为</w:t>
      </w:r>
      <w:r>
        <w:rPr>
          <w:rFonts w:ascii="仿宋_GB2312" w:eastAsia="仿宋_GB2312" w:cs="仿宋_GB2312"/>
          <w:sz w:val="32"/>
          <w:szCs w:val="32"/>
        </w:rPr>
        <w:t>67.9</w:t>
      </w:r>
      <w:r>
        <w:rPr>
          <w:rFonts w:hint="eastAsia" w:ascii="仿宋_GB2312" w:eastAsia="仿宋_GB2312" w:cs="仿宋_GB2312"/>
          <w:sz w:val="32"/>
          <w:szCs w:val="32"/>
        </w:rPr>
        <w:t>万元，支出决算为</w:t>
      </w:r>
      <w:r>
        <w:rPr>
          <w:rFonts w:ascii="仿宋_GB2312" w:eastAsia="仿宋_GB2312" w:cs="仿宋_GB2312"/>
          <w:sz w:val="32"/>
          <w:szCs w:val="32"/>
        </w:rPr>
        <w:t>66.36</w:t>
      </w:r>
      <w:r>
        <w:rPr>
          <w:rFonts w:hint="eastAsia" w:ascii="仿宋_GB2312" w:eastAsia="仿宋_GB2312" w:cs="仿宋_GB2312"/>
          <w:sz w:val="32"/>
          <w:szCs w:val="32"/>
        </w:rPr>
        <w:t>万元，完成年初预算的</w:t>
      </w:r>
      <w:r>
        <w:rPr>
          <w:rFonts w:ascii="仿宋_GB2312" w:eastAsia="仿宋_GB2312" w:cs="仿宋_GB2312"/>
          <w:sz w:val="32"/>
          <w:szCs w:val="32"/>
        </w:rPr>
        <w:t>97.7</w:t>
      </w: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1．社会保障和就业支出（类）人力资源和社会保障管理事务（款）社会保险经办机构（项）。</w:t>
      </w:r>
      <w:r>
        <w:rPr>
          <w:rFonts w:hint="eastAsia" w:ascii="仿宋_GB2312" w:hAnsi="仿宋_GB2312" w:eastAsia="仿宋_GB2312" w:cs="仿宋_GB2312"/>
          <w:sz w:val="32"/>
          <w:szCs w:val="32"/>
        </w:rPr>
        <w:t>年初预算为52.60万元，支出决算为52.55万元，完成年初预算的99.90%。决算数与年初预算数存在差异的主要原因是管理活动变化。</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2．社会保障和就业支出（类）行政事业单位养老支出（款）机关事业单位基本养老保险缴费支出（项）。</w:t>
      </w:r>
      <w:r>
        <w:rPr>
          <w:rFonts w:hint="eastAsia" w:ascii="仿宋_GB2312" w:hAnsi="仿宋_GB2312" w:eastAsia="仿宋_GB2312" w:cs="仿宋_GB2312"/>
          <w:sz w:val="32"/>
          <w:szCs w:val="32"/>
        </w:rPr>
        <w:t>年初预算为4.9万元，支出决算为5.15万元，完成年初预算的105.10%。决算数与年初预算数存在差异的主要原因是单位实际缴纳养老保险费较多。</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社会保障和就业支出（类）行政事业单位养老支出（款）机关事业单位职业年金缴费支出（项）。</w:t>
      </w:r>
      <w:r>
        <w:rPr>
          <w:rFonts w:hint="eastAsia" w:ascii="仿宋_GB2312" w:hAnsi="仿宋_GB2312" w:eastAsia="仿宋_GB2312" w:cs="仿宋_GB2312"/>
          <w:sz w:val="32"/>
          <w:szCs w:val="32"/>
        </w:rPr>
        <w:t>年初预算为1.76万元，支出决算为2.03万元，完成年初预算的115.34%。决算数与年初预算数存在差异的主要原因是单位实际缴纳养老保险费较少。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3．卫生健康支出（类）行政事业单位医疗（款）事业单位医疗（项）。</w:t>
      </w:r>
      <w:r>
        <w:rPr>
          <w:rFonts w:hint="eastAsia" w:ascii="仿宋_GB2312" w:hAnsi="仿宋_GB2312" w:eastAsia="仿宋_GB2312" w:cs="仿宋_GB2312"/>
          <w:sz w:val="32"/>
          <w:szCs w:val="32"/>
        </w:rPr>
        <w:t>年初预算为3.33万元，支出决算为2.40万元，完成年初预算的68.77%。决算数与年初预算数存在差异的主要原因是单位实际缴纳人员医疗保险费较少。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4．住房保障支出（类）住房改革支出（款）住房公积金（项）。</w:t>
      </w:r>
      <w:r>
        <w:rPr>
          <w:rFonts w:hint="eastAsia" w:ascii="仿宋_GB2312" w:hAnsi="仿宋_GB2312" w:eastAsia="仿宋_GB2312" w:cs="仿宋_GB2312"/>
          <w:sz w:val="32"/>
          <w:szCs w:val="32"/>
        </w:rPr>
        <w:t>年初预算为5.31万元，支出决算为4.23万元，完成年初预算的79.66%。决算数与年初预算数存在差异的主要原因是单位实际缴纳人员公积金数较少。</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六、一般公共预算财政拨款基本支出决算情况说明</w:t>
      </w:r>
    </w:p>
    <w:p>
      <w:pPr>
        <w:autoSpaceDE w:val="0"/>
        <w:autoSpaceDN w:val="0"/>
        <w:adjustRightInd w:val="0"/>
        <w:spacing w:line="590" w:lineRule="exact"/>
        <w:ind w:firstLine="640"/>
        <w:rPr>
          <w:rFonts w:ascii="仿宋_GB2312" w:hAns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年度一般公共预算财政拨款基本支出</w:t>
      </w:r>
      <w:r>
        <w:rPr>
          <w:rFonts w:ascii="仿宋_GB2312" w:eastAsia="仿宋_GB2312" w:cs="仿宋_GB2312"/>
          <w:sz w:val="32"/>
          <w:szCs w:val="32"/>
        </w:rPr>
        <w:t>66.36</w:t>
      </w:r>
      <w:r>
        <w:rPr>
          <w:rFonts w:hint="eastAsia" w:ascii="仿宋_GB2312" w:eastAsia="仿宋_GB2312" w:cs="仿宋_GB2312"/>
          <w:sz w:val="32"/>
          <w:szCs w:val="32"/>
        </w:rPr>
        <w:t>万元。其中：人员经费</w:t>
      </w:r>
      <w:r>
        <w:rPr>
          <w:rFonts w:ascii="仿宋_GB2312" w:eastAsia="仿宋_GB2312" w:cs="仿宋_GB2312"/>
          <w:sz w:val="32"/>
          <w:szCs w:val="32"/>
        </w:rPr>
        <w:t>52.57</w:t>
      </w:r>
      <w:r>
        <w:rPr>
          <w:rFonts w:hint="eastAsia" w:ascii="仿宋_GB2312" w:eastAsia="仿宋_GB2312" w:cs="仿宋_GB2312"/>
          <w:sz w:val="32"/>
          <w:szCs w:val="32"/>
        </w:rPr>
        <w:t>万元，主要包括：</w:t>
      </w:r>
      <w:r>
        <w:rPr>
          <w:rFonts w:hint="eastAsia" w:ascii="仿宋_GB2312" w:hAnsi="仿宋_GB2312" w:eastAsia="仿宋_GB2312" w:cs="仿宋_GB2312"/>
          <w:sz w:val="32"/>
          <w:szCs w:val="32"/>
        </w:rPr>
        <w:t>基本工资、津贴补贴、机关事业单位基本养老保险缴费、其他社会保障缴费、其他工资福利支出、住房公积金、采暖补贴、物业服务补贴、其他对个人和家庭的补助支出；公用经费13.79万元，主要包括：办公费、印刷费、手续费、水费、电费、邮电费、差旅费、维修（护）费、劳务费、工会经费、福利费、其他交通费用、其他商品和服务支出。</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七、一般公共预算财政拨款</w:t>
      </w:r>
      <w:r>
        <w:rPr>
          <w:rFonts w:eastAsia="黑体"/>
          <w:sz w:val="32"/>
          <w:szCs w:val="32"/>
        </w:rPr>
        <w:t>“</w:t>
      </w:r>
      <w:r>
        <w:rPr>
          <w:rFonts w:hint="eastAsia" w:ascii="黑体" w:eastAsia="黑体" w:cs="黑体"/>
          <w:sz w:val="32"/>
          <w:szCs w:val="32"/>
        </w:rPr>
        <w:t>三公</w:t>
      </w:r>
      <w:r>
        <w:rPr>
          <w:rFonts w:eastAsia="黑体"/>
          <w:sz w:val="32"/>
          <w:szCs w:val="32"/>
        </w:rPr>
        <w:t>”</w:t>
      </w:r>
      <w:r>
        <w:rPr>
          <w:rFonts w:hint="eastAsia" w:ascii="黑体" w:eastAsia="黑体" w:cs="黑体"/>
          <w:sz w:val="32"/>
          <w:szCs w:val="32"/>
        </w:rPr>
        <w:t>经费支出决算情况说明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w:t>
      </w:r>
      <w:r>
        <w:rPr>
          <w:rFonts w:eastAsia="楷体_GB2312"/>
          <w:b/>
          <w:bCs/>
          <w:sz w:val="32"/>
          <w:szCs w:val="32"/>
        </w:rPr>
        <w:t>“</w:t>
      </w:r>
      <w:r>
        <w:rPr>
          <w:rFonts w:hint="eastAsia" w:ascii="楷体_GB2312" w:eastAsia="楷体_GB2312" w:cs="楷体_GB2312"/>
          <w:b/>
          <w:bCs/>
          <w:sz w:val="32"/>
          <w:szCs w:val="32"/>
        </w:rPr>
        <w:t>三公</w:t>
      </w:r>
      <w:r>
        <w:rPr>
          <w:rFonts w:eastAsia="楷体_GB2312"/>
          <w:b/>
          <w:bCs/>
          <w:sz w:val="32"/>
          <w:szCs w:val="32"/>
        </w:rPr>
        <w:t>”</w:t>
      </w:r>
      <w:r>
        <w:rPr>
          <w:rFonts w:hint="eastAsia" w:ascii="楷体_GB2312" w:eastAsia="楷体_GB2312" w:cs="楷体_GB2312"/>
          <w:b/>
          <w:bCs/>
          <w:sz w:val="32"/>
          <w:szCs w:val="32"/>
        </w:rPr>
        <w:t>经费财政拨款支出决算总体情况说明。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w:t>
      </w:r>
      <w:r>
        <w:rPr>
          <w:rFonts w:eastAsia="仿宋_GB2312"/>
          <w:sz w:val="32"/>
          <w:szCs w:val="32"/>
        </w:rPr>
        <w:t>“</w:t>
      </w:r>
      <w:r>
        <w:rPr>
          <w:rFonts w:hint="eastAsia" w:ascii="仿宋_GB2312" w:eastAsia="仿宋_GB2312" w:cs="仿宋_GB2312"/>
          <w:sz w:val="32"/>
          <w:szCs w:val="32"/>
        </w:rPr>
        <w:t>三公</w:t>
      </w:r>
      <w:r>
        <w:rPr>
          <w:rFonts w:eastAsia="仿宋_GB2312"/>
          <w:sz w:val="32"/>
          <w:szCs w:val="32"/>
        </w:rPr>
        <w:t>”</w:t>
      </w:r>
      <w:r>
        <w:rPr>
          <w:rFonts w:hint="eastAsia" w:ascii="仿宋_GB2312" w:eastAsia="仿宋_GB2312" w:cs="仿宋_GB2312"/>
          <w:sz w:val="32"/>
          <w:szCs w:val="32"/>
        </w:rPr>
        <w:t>经费财政拨款支出预算为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w:t>
      </w:r>
      <w:r>
        <w:rPr>
          <w:rFonts w:ascii="仿宋_GB2312" w:eastAsia="仿宋_GB2312" w:cs="仿宋_GB2312"/>
          <w:sz w:val="32"/>
          <w:szCs w:val="32"/>
        </w:rPr>
        <w:t>2021</w:t>
      </w:r>
      <w:r>
        <w:rPr>
          <w:rFonts w:hint="eastAsia" w:ascii="仿宋_GB2312" w:eastAsia="仿宋_GB2312" w:cs="仿宋_GB2312"/>
          <w:sz w:val="32"/>
          <w:szCs w:val="32"/>
        </w:rPr>
        <w:t>年度</w:t>
      </w:r>
      <w:r>
        <w:rPr>
          <w:rFonts w:eastAsia="仿宋_GB2312"/>
          <w:sz w:val="32"/>
          <w:szCs w:val="32"/>
        </w:rPr>
        <w:t>“</w:t>
      </w:r>
      <w:r>
        <w:rPr>
          <w:rFonts w:hint="eastAsia" w:ascii="仿宋_GB2312" w:eastAsia="仿宋_GB2312" w:cs="仿宋_GB2312"/>
          <w:sz w:val="32"/>
          <w:szCs w:val="32"/>
        </w:rPr>
        <w:t>三公</w:t>
      </w:r>
      <w:r>
        <w:rPr>
          <w:rFonts w:eastAsia="仿宋_GB2312"/>
          <w:sz w:val="32"/>
          <w:szCs w:val="32"/>
        </w:rPr>
        <w:t>”</w:t>
      </w:r>
      <w:r>
        <w:rPr>
          <w:rFonts w:hint="eastAsia" w:ascii="仿宋_GB2312" w:eastAsia="仿宋_GB2312" w:cs="仿宋_GB2312"/>
          <w:sz w:val="32"/>
          <w:szCs w:val="32"/>
        </w:rPr>
        <w:t>经费支出决算数与预算数不存在差异。</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（二）</w:t>
      </w:r>
      <w:r>
        <w:rPr>
          <w:rFonts w:eastAsia="楷体_GB2312"/>
          <w:b/>
          <w:bCs/>
          <w:sz w:val="32"/>
          <w:szCs w:val="32"/>
        </w:rPr>
        <w:t>“</w:t>
      </w:r>
      <w:r>
        <w:rPr>
          <w:rFonts w:hint="eastAsia" w:ascii="楷体_GB2312" w:eastAsia="楷体_GB2312" w:cs="楷体_GB2312"/>
          <w:b/>
          <w:bCs/>
          <w:sz w:val="32"/>
          <w:szCs w:val="32"/>
        </w:rPr>
        <w:t>三公</w:t>
      </w:r>
      <w:r>
        <w:rPr>
          <w:rFonts w:eastAsia="楷体_GB2312"/>
          <w:b/>
          <w:bCs/>
          <w:sz w:val="32"/>
          <w:szCs w:val="32"/>
        </w:rPr>
        <w:t>”</w:t>
      </w:r>
      <w:r>
        <w:rPr>
          <w:rFonts w:hint="eastAsia" w:ascii="楷体_GB2312" w:eastAsia="楷体_GB2312" w:cs="楷体_GB2312"/>
          <w:b/>
          <w:bCs/>
          <w:sz w:val="32"/>
          <w:szCs w:val="32"/>
        </w:rPr>
        <w:t>经费财政拨款支出决算具体情况说明。</w:t>
      </w:r>
    </w:p>
    <w:p>
      <w:pPr>
        <w:autoSpaceDE w:val="0"/>
        <w:autoSpaceDN w:val="0"/>
        <w:adjustRightInd w:val="0"/>
        <w:spacing w:line="590" w:lineRule="exact"/>
        <w:ind w:firstLine="640"/>
        <w:rPr>
          <w:rFonts w:eastAsia="仿宋_GB2312"/>
          <w:kern w:val="0"/>
          <w:sz w:val="18"/>
          <w:szCs w:val="18"/>
        </w:rPr>
      </w:pPr>
      <w:r>
        <w:rPr>
          <w:rFonts w:ascii="仿宋_GB2312" w:eastAsia="仿宋_GB2312" w:cs="仿宋_GB2312"/>
          <w:sz w:val="32"/>
          <w:szCs w:val="32"/>
        </w:rPr>
        <w:t>2021</w:t>
      </w:r>
      <w:r>
        <w:rPr>
          <w:rFonts w:hint="eastAsia" w:ascii="仿宋_GB2312" w:eastAsia="仿宋_GB2312" w:cs="仿宋_GB2312"/>
          <w:sz w:val="32"/>
          <w:szCs w:val="32"/>
        </w:rPr>
        <w:t>年度</w:t>
      </w:r>
      <w:r>
        <w:rPr>
          <w:rFonts w:eastAsia="仿宋_GB2312"/>
          <w:sz w:val="32"/>
          <w:szCs w:val="32"/>
        </w:rPr>
        <w:t>“</w:t>
      </w:r>
      <w:r>
        <w:rPr>
          <w:rFonts w:hint="eastAsia" w:ascii="仿宋_GB2312" w:eastAsia="仿宋_GB2312" w:cs="仿宋_GB2312"/>
          <w:sz w:val="32"/>
          <w:szCs w:val="32"/>
        </w:rPr>
        <w:t>三公</w:t>
      </w:r>
      <w:r>
        <w:rPr>
          <w:rFonts w:eastAsia="仿宋_GB2312"/>
          <w:sz w:val="32"/>
          <w:szCs w:val="32"/>
        </w:rPr>
        <w:t>”</w:t>
      </w:r>
      <w:r>
        <w:rPr>
          <w:rFonts w:hint="eastAsia" w:ascii="仿宋_GB2312" w:eastAsia="仿宋_GB2312" w:cs="仿宋_GB2312"/>
          <w:sz w:val="32"/>
          <w:szCs w:val="32"/>
        </w:rPr>
        <w:t>经费财政拨款支出决算中，因公出国（境）费支出决算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；公务用车购置及运行费支出决算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；公务接待费支出决算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；具体情况如下：</w:t>
      </w:r>
    </w:p>
    <w:p>
      <w:pPr>
        <w:autoSpaceDE w:val="0"/>
        <w:autoSpaceDN w:val="0"/>
        <w:adjustRightInd w:val="0"/>
        <w:spacing w:line="590" w:lineRule="exact"/>
        <w:ind w:firstLine="640"/>
        <w:rPr>
          <w:rFonts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 xml:space="preserve">．因公出国（境）费 </w:t>
      </w:r>
      <w:r>
        <w:rPr>
          <w:rFonts w:hint="eastAsia" w:ascii="仿宋_GB2312" w:eastAsia="仿宋_GB2312" w:cs="仿宋_GB2312"/>
          <w:sz w:val="32"/>
          <w:szCs w:val="32"/>
        </w:rPr>
        <w:t>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，决算数与年初预算数不存在差异。</w:t>
      </w:r>
    </w:p>
    <w:p>
      <w:pPr>
        <w:autoSpaceDE w:val="0"/>
        <w:autoSpaceDN w:val="0"/>
        <w:adjustRightInd w:val="0"/>
        <w:spacing w:line="590" w:lineRule="exact"/>
        <w:ind w:firstLine="640"/>
        <w:rPr>
          <w:rFonts w:eastAsia="仿宋_GB2312"/>
          <w:kern w:val="0"/>
          <w:sz w:val="18"/>
          <w:szCs w:val="18"/>
          <w:lang w:val="zh-CN"/>
        </w:rPr>
      </w:pPr>
      <w:r>
        <w:rPr>
          <w:rFonts w:hint="eastAsia" w:ascii="仿宋_GB2312" w:eastAsia="仿宋_GB2312" w:cs="仿宋_GB2312"/>
          <w:sz w:val="32"/>
          <w:szCs w:val="32"/>
        </w:rPr>
        <w:t>因公出国（境）团组数</w:t>
      </w:r>
      <w:r>
        <w:rPr>
          <w:rFonts w:ascii="仿宋_GB2312" w:eastAsia="仿宋_GB2312" w:cs="仿宋_GB2312"/>
          <w:sz w:val="32"/>
          <w:szCs w:val="32"/>
        </w:rPr>
        <w:t>0</w:t>
      </w:r>
      <w:r>
        <w:rPr>
          <w:rFonts w:hint="eastAsia" w:ascii="仿宋_GB2312" w:eastAsia="仿宋_GB2312" w:cs="仿宋_GB2312"/>
          <w:sz w:val="32"/>
          <w:szCs w:val="32"/>
        </w:rPr>
        <w:t>个，因公出国（境）人次数</w:t>
      </w:r>
      <w:r>
        <w:rPr>
          <w:rFonts w:ascii="仿宋_GB2312" w:eastAsia="仿宋_GB2312" w:cs="仿宋_GB2312"/>
          <w:sz w:val="32"/>
          <w:szCs w:val="32"/>
        </w:rPr>
        <w:t>0</w:t>
      </w:r>
      <w:r>
        <w:rPr>
          <w:rFonts w:hint="eastAsia" w:ascii="仿宋_GB2312" w:eastAsia="仿宋_GB2312" w:cs="仿宋_GB2312"/>
          <w:sz w:val="32"/>
          <w:szCs w:val="32"/>
        </w:rPr>
        <w:t>人。</w:t>
      </w:r>
    </w:p>
    <w:p>
      <w:pPr>
        <w:autoSpaceDE w:val="0"/>
        <w:autoSpaceDN w:val="0"/>
        <w:adjustRightInd w:val="0"/>
        <w:spacing w:line="590" w:lineRule="exact"/>
        <w:ind w:firstLine="640"/>
        <w:rPr>
          <w:rFonts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 xml:space="preserve">．公务用车购置及运行费 </w:t>
      </w:r>
      <w:r>
        <w:rPr>
          <w:rFonts w:hint="eastAsia" w:ascii="仿宋_GB2312" w:eastAsia="仿宋_GB2312" w:cs="仿宋_GB2312"/>
          <w:sz w:val="32"/>
          <w:szCs w:val="32"/>
        </w:rPr>
        <w:t>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，决算数与年初预算数不存在差异。其中：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0万元。。2020年期末，部门开支财政拨款的公务用车保有量为0辆。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3.公务接待费 </w:t>
      </w:r>
      <w:r>
        <w:rPr>
          <w:rFonts w:hint="eastAsia" w:ascii="仿宋_GB2312" w:hAnsi="仿宋_GB2312" w:eastAsia="仿宋_GB2312" w:cs="仿宋_GB2312"/>
          <w:sz w:val="32"/>
          <w:szCs w:val="32"/>
        </w:rPr>
        <w:t>初预算为0万元，支出决算为0万元，完成年初预算的0%。决算数与年初预算数不存在差异。其中：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0万元。0。2021年共接待国（境）外来访团组0个、来访外宾0人次（不包括陪同人员）。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0万元。2020年共接待国内来访团组0个、来宾0人次（不包括陪同人员）。</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八、政府性基金预算财政拨款支出决算情况说明</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年度政府性基金预算财政拨款支出年初预算为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九、机关运行经费支出情况说明</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年度机关运行经费初预算为0万元，支出决算为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万元，完成年初预算的0</w:t>
      </w:r>
      <w:r>
        <w:rPr>
          <w:rFonts w:ascii="仿宋_GB2312" w:eastAsia="仿宋_GB2312" w:cs="仿宋_GB2312"/>
          <w:sz w:val="32"/>
          <w:szCs w:val="32"/>
        </w:rPr>
        <w:t>%</w:t>
      </w:r>
      <w:r>
        <w:rPr>
          <w:rFonts w:hint="eastAsia" w:ascii="仿宋_GB2312" w:eastAsia="仿宋_GB2312" w:cs="仿宋_GB2312"/>
          <w:sz w:val="32"/>
          <w:szCs w:val="32"/>
        </w:rPr>
        <w:t>。</w:t>
      </w:r>
    </w:p>
    <w:p>
      <w:pPr>
        <w:autoSpaceDE w:val="0"/>
        <w:autoSpaceDN w:val="0"/>
        <w:adjustRightInd w:val="0"/>
        <w:spacing w:line="590" w:lineRule="exact"/>
        <w:ind w:firstLine="640"/>
        <w:rPr>
          <w:rFonts w:ascii="仿宋_GB2312" w:eastAsia="仿宋_GB2312" w:cs="仿宋_GB2312"/>
          <w:sz w:val="32"/>
          <w:szCs w:val="32"/>
        </w:rPr>
      </w:pPr>
      <w:r>
        <w:rPr>
          <w:rFonts w:hint="eastAsia" w:ascii="仿宋_GB2312" w:eastAsia="仿宋_GB2312" w:cs="仿宋_GB2312"/>
          <w:sz w:val="32"/>
          <w:szCs w:val="32"/>
        </w:rPr>
        <w:t>说明：我单位不是行政机关，也不是参照公务员管理事业单位，没有机关运行经费支出。</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十、政府采购支出情况说明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年度政府采购支出总额</w:t>
      </w:r>
      <w:r>
        <w:rPr>
          <w:rFonts w:ascii="仿宋_GB2312" w:eastAsia="仿宋_GB2312" w:cs="仿宋_GB2312"/>
          <w:sz w:val="32"/>
          <w:szCs w:val="32"/>
        </w:rPr>
        <w:t>0</w:t>
      </w:r>
      <w:r>
        <w:rPr>
          <w:rFonts w:hint="eastAsia" w:ascii="仿宋_GB2312" w:eastAsia="仿宋_GB2312" w:cs="仿宋_GB2312"/>
          <w:sz w:val="32"/>
          <w:szCs w:val="32"/>
        </w:rPr>
        <w:t>万元，其中：政府采购货物支出</w:t>
      </w:r>
      <w:r>
        <w:rPr>
          <w:rFonts w:ascii="仿宋_GB2312" w:eastAsia="仿宋_GB2312" w:cs="仿宋_GB2312"/>
          <w:sz w:val="32"/>
          <w:szCs w:val="32"/>
        </w:rPr>
        <w:t>0</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万元。授予中小企业合同金额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十一、国有资产占用情况说明</w:t>
      </w:r>
    </w:p>
    <w:p>
      <w:pPr>
        <w:autoSpaceDE w:val="0"/>
        <w:autoSpaceDN w:val="0"/>
        <w:adjustRightInd w:val="0"/>
        <w:spacing w:line="590" w:lineRule="exact"/>
        <w:ind w:firstLine="640"/>
        <w:rPr>
          <w:rFonts w:eastAsia="仿宋_GB2312"/>
          <w:kern w:val="0"/>
          <w:sz w:val="18"/>
          <w:szCs w:val="18"/>
        </w:rPr>
      </w:pPr>
      <w:r>
        <w:rPr>
          <w:rFonts w:ascii="仿宋_GB2312" w:eastAsia="仿宋_GB2312" w:cs="仿宋_GB2312"/>
          <w:sz w:val="32"/>
          <w:szCs w:val="32"/>
        </w:rPr>
        <w:t>2021</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辆，其中：省级领导干部用车</w:t>
      </w:r>
      <w:r>
        <w:rPr>
          <w:rFonts w:ascii="仿宋_GB2312" w:eastAsia="仿宋_GB2312" w:cs="仿宋_GB2312"/>
          <w:sz w:val="32"/>
          <w:szCs w:val="32"/>
        </w:rPr>
        <w:t>0</w:t>
      </w:r>
      <w:r>
        <w:rPr>
          <w:rFonts w:hint="eastAsia" w:ascii="仿宋_GB2312" w:eastAsia="仿宋_GB2312" w:cs="仿宋_GB2312"/>
          <w:sz w:val="32"/>
          <w:szCs w:val="32"/>
        </w:rPr>
        <w:t>辆、主要领导干部用车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辆、应急保障车</w:t>
      </w:r>
      <w:r>
        <w:rPr>
          <w:rFonts w:ascii="仿宋_GB2312" w:eastAsia="仿宋_GB2312" w:cs="仿宋_GB2312"/>
          <w:sz w:val="32"/>
          <w:szCs w:val="32"/>
        </w:rPr>
        <w:t>0</w:t>
      </w:r>
      <w:r>
        <w:rPr>
          <w:rFonts w:hint="eastAsia" w:ascii="仿宋_GB2312" w:eastAsia="仿宋_GB2312" w:cs="仿宋_GB2312"/>
          <w:sz w:val="32"/>
          <w:szCs w:val="32"/>
        </w:rPr>
        <w:t>辆、执法执勤用车</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辆、离退休干部用车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辆；单位价值</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十二、预算绩效情况说明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设置了部门和单位整体绩效目标、政策和项目绩效目标，目标内容完整、指向明确、合理可行、与工作计划和预算资金相匹配，并将目标按时报送至财政部门。</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以2021年为周期，对预算执行情况开展绩效自评。对照设定的绩效目标，对政策、项目实施效果以及整体绩效开展自评，如实反映绩效目标实现结果，形成绩效评价报告，并将报告按时报送至财政部门。</w:t>
      </w:r>
    </w:p>
    <w:p>
      <w:pPr>
        <w:autoSpaceDE w:val="0"/>
        <w:autoSpaceDN w:val="0"/>
        <w:adjustRightInd w:val="0"/>
        <w:spacing w:line="590" w:lineRule="exact"/>
        <w:ind w:firstLine="640"/>
        <w:rPr>
          <w:rFonts w:eastAsia="楷体_GB2312"/>
          <w:szCs w:val="21"/>
        </w:rPr>
      </w:pPr>
      <w:r>
        <w:rPr>
          <w:rFonts w:hint="eastAsia" w:asci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项目单位自评平均分数85分。其中，居民养老保险基金县级补贴项目自评88分，经办机构经费项目85分，民办教师养老补贴项目88分。不同分数段分布情况：90-100分项目零个，80-89分项目三个。自评完成绩效目标的项目3个、没有完成绩效目标的项目0个，指标完成有偏差的项目0个、偏差较大（20%及以上）的项目0个。</w:t>
      </w:r>
    </w:p>
    <w:p>
      <w:pPr>
        <w:autoSpaceDE w:val="0"/>
        <w:autoSpaceDN w:val="0"/>
        <w:adjustRightInd w:val="0"/>
        <w:spacing w:line="590" w:lineRule="exact"/>
        <w:ind w:firstLine="640"/>
        <w:rPr>
          <w:rFonts w:ascii="宋体" w:cs="宋体"/>
          <w:kern w:val="0"/>
          <w:sz w:val="18"/>
          <w:szCs w:val="18"/>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r>
      <w:pict>
        <v:shape id="文本框 1027"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dkODliNWE2MWEwOTc4N2FhZDBiMjRkNmE1MzBkYzMifQ=="/>
  </w:docVars>
  <w:rsids>
    <w:rsidRoot w:val="000270E8"/>
    <w:rsid w:val="00005AF9"/>
    <w:rsid w:val="000270E8"/>
    <w:rsid w:val="000335B5"/>
    <w:rsid w:val="000472F4"/>
    <w:rsid w:val="00047A6C"/>
    <w:rsid w:val="00057AFD"/>
    <w:rsid w:val="00076410"/>
    <w:rsid w:val="00081741"/>
    <w:rsid w:val="00081835"/>
    <w:rsid w:val="000904B3"/>
    <w:rsid w:val="000A5A31"/>
    <w:rsid w:val="000C073B"/>
    <w:rsid w:val="000C1142"/>
    <w:rsid w:val="001003F8"/>
    <w:rsid w:val="00132DCD"/>
    <w:rsid w:val="00144159"/>
    <w:rsid w:val="001718A8"/>
    <w:rsid w:val="00182842"/>
    <w:rsid w:val="00184D53"/>
    <w:rsid w:val="001905F2"/>
    <w:rsid w:val="00197592"/>
    <w:rsid w:val="001B0678"/>
    <w:rsid w:val="001C32F0"/>
    <w:rsid w:val="001D61B1"/>
    <w:rsid w:val="001F5040"/>
    <w:rsid w:val="001F6498"/>
    <w:rsid w:val="002006EB"/>
    <w:rsid w:val="00214AE1"/>
    <w:rsid w:val="00260D70"/>
    <w:rsid w:val="00281114"/>
    <w:rsid w:val="00282C7F"/>
    <w:rsid w:val="00287811"/>
    <w:rsid w:val="00292B4B"/>
    <w:rsid w:val="002A6352"/>
    <w:rsid w:val="002B3F94"/>
    <w:rsid w:val="002B6D72"/>
    <w:rsid w:val="002C171D"/>
    <w:rsid w:val="002E6A86"/>
    <w:rsid w:val="002F7906"/>
    <w:rsid w:val="00304D04"/>
    <w:rsid w:val="00305B88"/>
    <w:rsid w:val="00306C39"/>
    <w:rsid w:val="00315FEB"/>
    <w:rsid w:val="00335A68"/>
    <w:rsid w:val="00347247"/>
    <w:rsid w:val="003A77EE"/>
    <w:rsid w:val="003F12EA"/>
    <w:rsid w:val="0041489C"/>
    <w:rsid w:val="004207C4"/>
    <w:rsid w:val="0042585F"/>
    <w:rsid w:val="0043562D"/>
    <w:rsid w:val="00435E49"/>
    <w:rsid w:val="00445CAC"/>
    <w:rsid w:val="00472E19"/>
    <w:rsid w:val="00487869"/>
    <w:rsid w:val="004A567C"/>
    <w:rsid w:val="004B2C5D"/>
    <w:rsid w:val="004C4106"/>
    <w:rsid w:val="004D5275"/>
    <w:rsid w:val="004F63DB"/>
    <w:rsid w:val="00505190"/>
    <w:rsid w:val="00507364"/>
    <w:rsid w:val="00546F7C"/>
    <w:rsid w:val="005A0C2F"/>
    <w:rsid w:val="005B1AE2"/>
    <w:rsid w:val="005E0E87"/>
    <w:rsid w:val="005E3397"/>
    <w:rsid w:val="00607D67"/>
    <w:rsid w:val="006228C4"/>
    <w:rsid w:val="00623C91"/>
    <w:rsid w:val="00636C37"/>
    <w:rsid w:val="00644735"/>
    <w:rsid w:val="006512DD"/>
    <w:rsid w:val="00656BEF"/>
    <w:rsid w:val="00656D75"/>
    <w:rsid w:val="00657E86"/>
    <w:rsid w:val="00673C48"/>
    <w:rsid w:val="00673EF7"/>
    <w:rsid w:val="006841E9"/>
    <w:rsid w:val="0069449E"/>
    <w:rsid w:val="006C07F0"/>
    <w:rsid w:val="006C644A"/>
    <w:rsid w:val="006C7D84"/>
    <w:rsid w:val="006E0765"/>
    <w:rsid w:val="006E30FA"/>
    <w:rsid w:val="007148E8"/>
    <w:rsid w:val="00733DAA"/>
    <w:rsid w:val="007420A0"/>
    <w:rsid w:val="00742BA0"/>
    <w:rsid w:val="00752F00"/>
    <w:rsid w:val="00753545"/>
    <w:rsid w:val="00764156"/>
    <w:rsid w:val="007706D7"/>
    <w:rsid w:val="00781B83"/>
    <w:rsid w:val="00784469"/>
    <w:rsid w:val="007879ED"/>
    <w:rsid w:val="0079498D"/>
    <w:rsid w:val="007A48A3"/>
    <w:rsid w:val="007B25BF"/>
    <w:rsid w:val="007C029F"/>
    <w:rsid w:val="007C7F49"/>
    <w:rsid w:val="007D2A21"/>
    <w:rsid w:val="007E5E4A"/>
    <w:rsid w:val="00837425"/>
    <w:rsid w:val="00843461"/>
    <w:rsid w:val="00854528"/>
    <w:rsid w:val="00864FE3"/>
    <w:rsid w:val="008651E7"/>
    <w:rsid w:val="00872946"/>
    <w:rsid w:val="0088023A"/>
    <w:rsid w:val="00880C8B"/>
    <w:rsid w:val="008858FB"/>
    <w:rsid w:val="008861F2"/>
    <w:rsid w:val="00894B41"/>
    <w:rsid w:val="008972D3"/>
    <w:rsid w:val="008B5427"/>
    <w:rsid w:val="008B7915"/>
    <w:rsid w:val="008C7CD0"/>
    <w:rsid w:val="008D210D"/>
    <w:rsid w:val="0090003B"/>
    <w:rsid w:val="00903F6B"/>
    <w:rsid w:val="00911A24"/>
    <w:rsid w:val="009173F9"/>
    <w:rsid w:val="009308CB"/>
    <w:rsid w:val="00950270"/>
    <w:rsid w:val="00962F58"/>
    <w:rsid w:val="00975A04"/>
    <w:rsid w:val="00987E71"/>
    <w:rsid w:val="009F0FBB"/>
    <w:rsid w:val="009F1749"/>
    <w:rsid w:val="009F546E"/>
    <w:rsid w:val="00A079F0"/>
    <w:rsid w:val="00A3512C"/>
    <w:rsid w:val="00A42F43"/>
    <w:rsid w:val="00A51834"/>
    <w:rsid w:val="00A51982"/>
    <w:rsid w:val="00A57BF7"/>
    <w:rsid w:val="00A71DC1"/>
    <w:rsid w:val="00A835B9"/>
    <w:rsid w:val="00A83D8A"/>
    <w:rsid w:val="00A93E7D"/>
    <w:rsid w:val="00AA260E"/>
    <w:rsid w:val="00AA44CB"/>
    <w:rsid w:val="00AA67CD"/>
    <w:rsid w:val="00AD4440"/>
    <w:rsid w:val="00AD6761"/>
    <w:rsid w:val="00AE2FEA"/>
    <w:rsid w:val="00AE600E"/>
    <w:rsid w:val="00B0083B"/>
    <w:rsid w:val="00B040BC"/>
    <w:rsid w:val="00B209B8"/>
    <w:rsid w:val="00B20BBC"/>
    <w:rsid w:val="00B249F3"/>
    <w:rsid w:val="00B42835"/>
    <w:rsid w:val="00B44374"/>
    <w:rsid w:val="00B462B2"/>
    <w:rsid w:val="00B649BE"/>
    <w:rsid w:val="00B653A5"/>
    <w:rsid w:val="00B710DD"/>
    <w:rsid w:val="00B95784"/>
    <w:rsid w:val="00BA2428"/>
    <w:rsid w:val="00BA5366"/>
    <w:rsid w:val="00BE5A85"/>
    <w:rsid w:val="00BF08DA"/>
    <w:rsid w:val="00BF4E6A"/>
    <w:rsid w:val="00BF5718"/>
    <w:rsid w:val="00C13474"/>
    <w:rsid w:val="00C233C9"/>
    <w:rsid w:val="00C3106E"/>
    <w:rsid w:val="00C52955"/>
    <w:rsid w:val="00C60609"/>
    <w:rsid w:val="00C75DE2"/>
    <w:rsid w:val="00C81AEF"/>
    <w:rsid w:val="00C86210"/>
    <w:rsid w:val="00C95CC1"/>
    <w:rsid w:val="00CA3F44"/>
    <w:rsid w:val="00CB03ED"/>
    <w:rsid w:val="00CE212D"/>
    <w:rsid w:val="00CE4B38"/>
    <w:rsid w:val="00CF5A52"/>
    <w:rsid w:val="00D02F39"/>
    <w:rsid w:val="00D1321A"/>
    <w:rsid w:val="00D30ADF"/>
    <w:rsid w:val="00D33CF8"/>
    <w:rsid w:val="00D6315E"/>
    <w:rsid w:val="00D652C2"/>
    <w:rsid w:val="00D74EE2"/>
    <w:rsid w:val="00D83E19"/>
    <w:rsid w:val="00D86CAD"/>
    <w:rsid w:val="00DA00C9"/>
    <w:rsid w:val="00DB200E"/>
    <w:rsid w:val="00DB65F5"/>
    <w:rsid w:val="00E01C3E"/>
    <w:rsid w:val="00E13099"/>
    <w:rsid w:val="00E16306"/>
    <w:rsid w:val="00E364FB"/>
    <w:rsid w:val="00E4339F"/>
    <w:rsid w:val="00E60B05"/>
    <w:rsid w:val="00E629EA"/>
    <w:rsid w:val="00E6777C"/>
    <w:rsid w:val="00E67781"/>
    <w:rsid w:val="00EB05A3"/>
    <w:rsid w:val="00ED38B7"/>
    <w:rsid w:val="00EE051D"/>
    <w:rsid w:val="00EF0B7E"/>
    <w:rsid w:val="00F0131A"/>
    <w:rsid w:val="00F14C17"/>
    <w:rsid w:val="00F17041"/>
    <w:rsid w:val="00F218CF"/>
    <w:rsid w:val="00F44937"/>
    <w:rsid w:val="00F61A47"/>
    <w:rsid w:val="00F64039"/>
    <w:rsid w:val="00F670EB"/>
    <w:rsid w:val="00F84422"/>
    <w:rsid w:val="00F94569"/>
    <w:rsid w:val="00F95455"/>
    <w:rsid w:val="00FA574D"/>
    <w:rsid w:val="00FC2588"/>
    <w:rsid w:val="00FD0E94"/>
    <w:rsid w:val="00FE7AD9"/>
    <w:rsid w:val="00FF245D"/>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0D1F2DC0"/>
    <w:rsid w:val="10BD36F6"/>
    <w:rsid w:val="11BF0649"/>
    <w:rsid w:val="11D42FB0"/>
    <w:rsid w:val="123E3E08"/>
    <w:rsid w:val="13D22E22"/>
    <w:rsid w:val="161C2DFF"/>
    <w:rsid w:val="16373578"/>
    <w:rsid w:val="16D3336B"/>
    <w:rsid w:val="17806C36"/>
    <w:rsid w:val="17A74F62"/>
    <w:rsid w:val="18A47774"/>
    <w:rsid w:val="1B2E6FD8"/>
    <w:rsid w:val="1B877D21"/>
    <w:rsid w:val="1C4319A9"/>
    <w:rsid w:val="1C9A01BE"/>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093867"/>
    <w:rsid w:val="31DD00BF"/>
    <w:rsid w:val="3293174C"/>
    <w:rsid w:val="32BB38D4"/>
    <w:rsid w:val="32C9376D"/>
    <w:rsid w:val="33780472"/>
    <w:rsid w:val="33AF0905"/>
    <w:rsid w:val="33B65F28"/>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5DE5B51"/>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145ACD"/>
    <w:rsid w:val="682640D1"/>
    <w:rsid w:val="684B73E5"/>
    <w:rsid w:val="6A047A2A"/>
    <w:rsid w:val="6DC27642"/>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000FF"/>
      <w:u w:val="single"/>
    </w:rPr>
  </w:style>
  <w:style w:type="character" w:customStyle="1" w:styleId="9">
    <w:name w:val="font01"/>
    <w:qFormat/>
    <w:uiPriority w:val="0"/>
    <w:rPr>
      <w:rFonts w:hint="eastAsia" w:ascii="宋体" w:hAnsi="宋体" w:eastAsia="宋体" w:cs="宋体"/>
      <w:color w:val="000000"/>
      <w:sz w:val="22"/>
      <w:szCs w:val="22"/>
      <w:u w:val="none"/>
    </w:rPr>
  </w:style>
  <w:style w:type="character" w:customStyle="1" w:styleId="10">
    <w:name w:val="font21"/>
    <w:qFormat/>
    <w:uiPriority w:val="0"/>
    <w:rPr>
      <w:rFonts w:hint="eastAsia" w:ascii="宋体" w:hAnsi="宋体" w:eastAsia="宋体" w:cs="宋体"/>
      <w:color w:val="000000"/>
      <w:sz w:val="22"/>
      <w:szCs w:val="22"/>
      <w:u w:val="none"/>
    </w:rPr>
  </w:style>
  <w:style w:type="character" w:customStyle="1" w:styleId="11">
    <w:name w:val="访问过的超链接"/>
    <w:unhideWhenUsed/>
    <w:qFormat/>
    <w:uiPriority w:val="99"/>
    <w:rPr>
      <w:color w:val="800080"/>
      <w:u w:val="single"/>
    </w:rPr>
  </w:style>
  <w:style w:type="character" w:customStyle="1" w:styleId="12">
    <w:name w:val="页眉 Char"/>
    <w:link w:val="4"/>
    <w:qFormat/>
    <w:uiPriority w:val="99"/>
    <w:rPr>
      <w:kern w:val="2"/>
      <w:sz w:val="18"/>
      <w:szCs w:val="18"/>
    </w:rPr>
  </w:style>
  <w:style w:type="character" w:customStyle="1" w:styleId="13">
    <w:name w:val="font51"/>
    <w:qFormat/>
    <w:uiPriority w:val="0"/>
    <w:rPr>
      <w:rFonts w:hint="eastAsia" w:ascii="宋体" w:hAnsi="宋体" w:eastAsia="宋体" w:cs="宋体"/>
      <w:color w:val="000000"/>
      <w:sz w:val="24"/>
      <w:szCs w:val="24"/>
      <w:u w:val="none"/>
    </w:rPr>
  </w:style>
  <w:style w:type="character" w:customStyle="1" w:styleId="14">
    <w:name w:val="font11"/>
    <w:qFormat/>
    <w:uiPriority w:val="0"/>
    <w:rPr>
      <w:rFonts w:hint="eastAsia" w:ascii="宋体" w:hAnsi="宋体" w:eastAsia="宋体" w:cs="宋体"/>
      <w:color w:val="000000"/>
      <w:sz w:val="20"/>
      <w:szCs w:val="20"/>
      <w:u w:val="none"/>
    </w:rPr>
  </w:style>
  <w:style w:type="character" w:customStyle="1" w:styleId="15">
    <w:name w:val="页脚 Char"/>
    <w:link w:val="3"/>
    <w:qFormat/>
    <w:uiPriority w:val="99"/>
    <w:rPr>
      <w:kern w:val="2"/>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DFEA0-7166-4F16-AA99-3CA175D74B8E}">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29</Pages>
  <Words>1528</Words>
  <Characters>8715</Characters>
  <Lines>72</Lines>
  <Paragraphs>20</Paragraphs>
  <TotalTime>0</TotalTime>
  <ScaleCrop>false</ScaleCrop>
  <LinksUpToDate>false</LinksUpToDate>
  <CharactersWithSpaces>10223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2022-10-05T01:56:00Z</dcterms:created>
  <dc:creator>管理者</dc:creator>
  <cp:lastModifiedBy>Administrator</cp:lastModifiedBy>
  <cp:lastPrinted>2018-07-24T10:50:00Z</cp:lastPrinted>
  <dcterms:modified xsi:type="dcterms:W3CDTF">2023-09-19T08:57:51Z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363F04E0F06C46AE9356AC0AF3651A19_12</vt:lpwstr>
  </property>
</Properties>
</file>