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朝阳路街道办事处2020年政府信息公开工作年度报告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2020年以来，朝阳路街道办事处严格按照上级政府部门关于政府信息公开的工作要求，切实加强组织领导，落实政府信息公开工作各项规定，较好的完成了2020年度政府信息公开各项任务。</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一是政务公开的内容需要进一步扩大，政务公开项目还需进一步完善，以便接受广大干群监督。二是政府信息公开的内容和渠道还不能完全满足社区居民的实际需求，尤其是一些群众关心的热点、难点等重点公开的内容。</w:t>
      </w:r>
    </w:p>
    <w:p>
      <w:pPr>
        <w:pStyle w:val="Normal"/>
        <w:widowControl/>
        <w:shd w:color="auto" w:fill="FFFFFF" w:val="clear"/>
        <w:ind w:firstLine="480"/>
        <w:rPr>
          <w:rFonts w:ascii="宋体" w:cs="宋体" w:eastAsia="宋体" w:hAnsi="宋体"/>
          <w:color w:val="333333"/>
          <w:kern w:val="0"/>
          <w:sz w:val="24"/>
          <w:szCs w:val="24"/>
        </w:rPr>
      </w:pPr>
      <w:r>
        <w:t>改进措施：一是健全政府信息公开长效机制。坚定不移地做好政府信息公开工作，将其作为服务社会、服务群众的重要途径，做到机构健全、制度完善、责任到人，建立起各负其责、运转协调的信息公开长效机制。二是探索政府信息公开新途径。提升政府政务信息公开服务水平，进一步完善和拓展政务信息公开的内容及形式，积极探索政府信息公开新方式和新方法。</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