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义马市工业信息化和科技局2020年政府信息公开工作年度报告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2020年度我局没有需要公开的政府信息情况，没有收到政府信息公开申请，没有行政复议、行政诉讼情况。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工信科技局将严格按照《信息公开条例》和《信息处置管理办法》规定，进一步梳理规范我局信息公开目录，充实并完善信息公开内容；进一步强化人员配置和培训，不断提高政府信息公开工作的质量和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