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泰山路街道办事处2019年政府信息公开工作年度报告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泰山路办事处按照市委市政府的统一部署，严格认真贯彻落实《中华人民共和国政府信息公开条例》，不忘初心、牢记使命，高举光荣旗帜，铭记领袖训词，扎实推进政府信息公开工作，取得一定的成绩。</w:t>
      </w:r>
    </w:p>
    <w:p>
      <w:pPr>
        <w:pStyle w:val="Normal"/>
        <w:pageBreakBefore w:val="false"/>
        <w:widowControl/>
        <w:shd w:color="auto" w:fill="FFFFFF" w:val="clear"/>
        <w:ind w:firstLine="480"/>
        <w:rPr>
          <w:rFonts w:ascii="宋体" w:cs="宋体" w:eastAsia="宋体" w:hAnsi="宋体"/>
          <w:color w:val="333333"/>
          <w:kern w:val="0"/>
          <w:sz w:val="24"/>
          <w:szCs w:val="24"/>
        </w:rPr>
      </w:pPr>
      <w:r>
        <w:t>一、严格要求，落实信息公开有关规定。2019年办事处围绕《条例》和《办法》要求，开展政务信息公开工作，对经济、社会发展的重点、难点和群众关切的问题，坚持以公开为常态、不公开为例外，较好的完成了信息公开工作。</w:t>
      </w:r>
    </w:p>
    <w:p>
      <w:pPr>
        <w:pStyle w:val="Normal"/>
        <w:pageBreakBefore w:val="false"/>
        <w:widowControl/>
        <w:shd w:color="auto" w:fill="FFFFFF" w:val="clear"/>
        <w:ind w:firstLine="480"/>
        <w:rPr>
          <w:rFonts w:ascii="宋体" w:cs="宋体" w:eastAsia="宋体" w:hAnsi="宋体"/>
          <w:color w:val="333333"/>
          <w:kern w:val="0"/>
          <w:sz w:val="24"/>
          <w:szCs w:val="24"/>
        </w:rPr>
      </w:pPr>
      <w:r>
        <w:t>二、提质增效，深化服务经济举措。对于单位有关群众服务事项有关变动及时通过政府网站信息公开平台予以公开，方便群众查阅，有效推动便民服务事项开展。</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存在问题</w:t>
      </w:r>
    </w:p>
    <w:p>
      <w:pPr>
        <w:pStyle w:val="Normal"/>
        <w:widowControl/>
        <w:shd w:color="auto" w:fill="FFFFFF" w:val="clear"/>
        <w:ind w:firstLine="480"/>
        <w:rPr>
          <w:rFonts w:ascii="宋体" w:cs="宋体" w:eastAsia="宋体" w:hAnsi="宋体"/>
          <w:color w:val="333333"/>
          <w:kern w:val="0"/>
          <w:sz w:val="24"/>
          <w:szCs w:val="24"/>
        </w:rPr>
      </w:pPr>
      <w:r>
        <w:t>1.政府信息公开的队伍建设不到位。缺乏专职人员，且人员变动频率高，常常导致工作脱节。</w:t>
      </w:r>
    </w:p>
    <w:p>
      <w:pPr>
        <w:pStyle w:val="Normal"/>
        <w:widowControl/>
        <w:shd w:color="auto" w:fill="FFFFFF" w:val="clear"/>
        <w:ind w:firstLine="480"/>
        <w:rPr>
          <w:rFonts w:ascii="宋体" w:cs="宋体" w:eastAsia="宋体" w:hAnsi="宋体"/>
          <w:color w:val="333333"/>
          <w:kern w:val="0"/>
          <w:sz w:val="24"/>
          <w:szCs w:val="24"/>
        </w:rPr>
      </w:pPr>
      <w:r>
        <w:t>下一步工作重点</w:t>
      </w:r>
    </w:p>
    <w:p>
      <w:pPr>
        <w:pStyle w:val="Normal"/>
        <w:widowControl/>
        <w:shd w:color="auto" w:fill="FFFFFF" w:val="clear"/>
        <w:ind w:firstLine="480"/>
        <w:rPr>
          <w:rFonts w:ascii="宋体" w:cs="宋体" w:eastAsia="宋体" w:hAnsi="宋体"/>
          <w:color w:val="333333"/>
          <w:kern w:val="0"/>
          <w:sz w:val="24"/>
          <w:szCs w:val="24"/>
        </w:rPr>
      </w:pPr>
      <w:r>
        <w:t>1.提高工作人员素质。研究设立政府信息专职科室，配备专职人员，将政府信息公开工作纳入培训计划，通过多种形式，加强培训和教育，使工作人员强化群众观念和服务意识。</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