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package.relationships+xml" PartName="/_rels/.rels"/>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package.relationships+xml" PartName="/word/_rels/document.xml.rels"/>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
<Relationship Id="rId1" Target="docProps/core.xml" Type="http://schemas.openxmlformats.org/officedocument/2006/relationships/metadata/core-properties"/>
<Relationship Id="rId2" Target="docProps/app.xml" Type="http://schemas.openxmlformats.org/officeDocument/2006/relationships/extended-properties"/>
<Relationship Id="rId3" Target="docProps/custom.xml" Type="http://schemas.openxmlformats.org/officeDocument/2006/relationships/custom-properties"/>
<Relationship Id="rId4" Target="word/document.xml" Type="http://schemas.openxmlformats.org/officeDocument/2006/relationships/officeDocument"/>
</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14="http://schemas.microsoft.com/office/word/2010/wordprocessingDrawing" xmlns:wpg="http://schemas.microsoft.com/office/word/2010/wordprocessingGroup" xmlns:wps="http://schemas.microsoft.com/office/word/2010/wordprocessingShape" mc:Ignorable="w14 wp14 w15">
  <w:body>
    <w:p>
      <w:pPr>
        <w:pStyle w:val="Normal"/>
        <w:widowControl/>
        <w:shd w:color="auto" w:fill="FFFFFF" w:val="clear"/>
        <w:rPr>
          <w:rFonts w:ascii="宋体" w:cs="宋体" w:eastAsia="宋体" w:hAnsi="宋体"/>
          <w:b/>
          <w:bCs/>
          <w:color w:val="333333"/>
          <w:kern w:val="0"/>
          <w:sz w:val="24"/>
          <w:szCs w:val="24"/>
        </w:rPr>
      </w:pPr>
      <w:r>
        <w:rPr>
          <w:rFonts w:ascii="宋体" w:cs="宋体" w:eastAsia="宋体" w:hAnsi="宋体"/>
          <w:b/>
          <w:bCs/>
          <w:color w:val="333333"/>
          <w:kern w:val="0"/>
          <w:sz w:val="24"/>
          <w:szCs w:val="24"/>
        </w:rPr>
      </w:r>
    </w:p>
    <w:p>
      <w:pPr>
        <w:pStyle w:val="Normal"/>
        <w:widowControl/>
        <w:shd w:color="auto" w:fill="FFFFFF" w:val="clear"/>
        <w:jc w:val="center"/>
        <w:rPr>
          <w:rFonts w:ascii="宋体" w:cs="宋体" w:eastAsia="宋体" w:hAnsi="宋体"/>
          <w:color w:val="333333"/>
          <w:kern w:val="0"/>
          <w:sz w:val="24"/>
          <w:szCs w:val="24"/>
        </w:rPr>
      </w:pPr>
      <w:r>
        <w:rPr>
          <w:rFonts w:ascii="宋体" w:cs="宋体" w:eastAsia="宋体" w:hAnsi="宋体"/>
          <w:b/>
          <w:bCs/>
          <w:color w:val="333333"/>
          <w:kern w:val="0"/>
          <w:sz w:val="36"/>
          <w:szCs w:val="36"/>
          <w:shd w:fill="FFFFFF" w:val="clear"/>
          <w:lang w:bidi="ar-SA" w:eastAsia="zh-CN" w:val="en-US"/>
        </w:rPr>
        <w:t>义马市水利局2019年政府信息公开工作年度报告</w:t>
      </w:r>
    </w:p>
    <w:p>
      <w:pPr>
        <w:pStyle w:val="Normal"/>
        <w:keepNext w:val="false"/>
        <w:keepLines w:val="false"/>
        <w:widowControl/>
        <w:numPr>
          <w:ilvl w:val="0"/>
          <w:numId w:val="0"/>
        </w:numPr>
        <w:shd w:fill="FFFFFF" w:val="clear"/>
        <w:spacing w:after="0" w:before="0" w:line="580" w:lineRule="exact"/>
        <w:ind w:end="0" w:hanging="0" w:start="0"/>
        <w:jc w:val="start"/>
        <w:rPr>
          <w:rFonts w:ascii="黑体" w:cs="仿宋" w:eastAsia="黑体" w:hAnsi="黑体"/>
          <w:kern w:val="0"/>
          <w:sz w:val="32"/>
          <w:szCs w:val="32"/>
          <w:shd w:fill="FFFFFF" w:val="clear"/>
          <w:lang w:val="en-US"/>
        </w:rPr>
      </w:pPr>
      <w:r>
        <w:rPr>
          <w:rFonts w:ascii="黑体" w:cs="仿宋" w:eastAsia="黑体" w:hAnsi="黑体"/>
          <w:kern w:val="0"/>
          <w:sz w:val="32"/>
          <w:szCs w:val="32"/>
          <w:shd w:fill="FFFFFF" w:val="clear"/>
          <w:lang w:val="en-US"/>
        </w:rPr>
      </w:r>
    </w:p>
    <w:p>
      <w:pPr>
        <w:pStyle w:val="Normal"/>
        <w:keepNext w:val="false"/>
        <w:keepLines w:val="false"/>
        <w:widowControl/>
        <w:numPr>
          <w:ilvl w:val="0"/>
          <w:numId w:val="1"/>
        </w:numPr>
        <w:shd w:fill="FFFFFF" w:val="clear"/>
        <w:spacing w:after="0" w:before="0" w:line="580" w:lineRule="exact"/>
        <w:ind w:end="0" w:firstLine="640" w:start="0"/>
        <w:jc w:val="start"/>
        <w:rPr>
          <w:rFonts w:ascii="黑体" w:cs="仿宋" w:eastAsia="黑体" w:hAnsi="黑体"/>
          <w:kern w:val="0"/>
          <w:sz w:val="32"/>
          <w:szCs w:val="32"/>
          <w:shd w:fill="FFFFFF" w:val="clear"/>
          <w:lang w:val="en-US"/>
        </w:rPr>
      </w:pPr>
      <w:r>
        <w:rPr>
          <w:rFonts w:ascii="黑体" w:cs="仿宋" w:eastAsia="黑体" w:hAnsi="黑体"/>
          <w:kern w:val="0"/>
          <w:sz w:val="32"/>
          <w:szCs w:val="32"/>
          <w:shd w:fill="FFFFFF" w:val="clear"/>
          <w:lang w:bidi="ar-SA" w:eastAsia="zh-CN" w:val="en-US"/>
        </w:rPr>
        <w:t>总体情况</w:t>
      </w:r>
    </w:p>
    <w:p>
      <w:pPr>
        <w:pStyle w:val="Normal"/>
        <w:pageBreakBefore w:val="false"/>
        <w:widowControl/>
        <w:shd w:color="auto" w:fill="FFFFFF" w:val="clear"/>
        <w:ind w:firstLine="480"/>
        <w:rPr>
          <w:rFonts w:ascii="宋体" w:cs="宋体" w:eastAsia="宋体" w:hAnsi="宋体"/>
          <w:color w:val="333333"/>
          <w:kern w:val="0"/>
          <w:sz w:val="24"/>
          <w:szCs w:val="24"/>
        </w:rPr>
      </w:pPr>
      <w:r>
        <w:t/>
      </w:r>
    </w:p>
    <w:p>
      <w:pPr>
        <w:pStyle w:val="Normal"/>
        <w:pageBreakBefore w:val="false"/>
        <w:widowControl/>
        <w:shd w:color="auto" w:fill="FFFFFF" w:val="clear"/>
        <w:ind w:firstLine="480"/>
        <w:rPr>
          <w:rFonts w:ascii="宋体" w:cs="宋体" w:eastAsia="宋体" w:hAnsi="宋体"/>
          <w:color w:val="333333"/>
          <w:kern w:val="0"/>
          <w:sz w:val="24"/>
          <w:szCs w:val="24"/>
        </w:rPr>
      </w:pPr>
      <w:r>
        <w:t>2019年，我局严格依照《中华人民共和国保守国家秘密法》和《条例》等有关法律法规的规定，按照职责和法定程序，科学界定主动公开、依申请公开和免于公开的政府信息，并指定专人予以审核把关。对属于应当主动公开的严格按照政府信息模式和规定的程序纳入政府信息公开目录并在政府门户网站上公开；对属于免于公开的涉秘信息，严格把关，杜绝保密信息泄露现象；对所有政府信息进行严格保密审查后予以上网公开，2019年度累计公开130条。</w:t>
      </w:r>
    </w:p>
    <w:p>
      <w:pPr>
        <w:pStyle w:val="Normal"/>
        <w:pageBreakBefore w:val="false"/>
        <w:widowControl/>
        <w:shd w:color="auto" w:fill="FFFFFF" w:val="clear"/>
        <w:ind w:firstLine="480"/>
        <w:rPr>
          <w:rFonts w:ascii="宋体" w:cs="宋体" w:eastAsia="宋体" w:hAnsi="宋体"/>
          <w:color w:val="333333"/>
          <w:kern w:val="0"/>
          <w:sz w:val="24"/>
          <w:szCs w:val="24"/>
        </w:rPr>
      </w:pPr>
      <w:r>
        <w:t>主动公开政府信息的主要类别。2019年我局主动公开政府信息的主要类别有：机构职能类信息100条，安全生产、应急管理类信息20条，规划计划类10条。</w:t>
      </w:r>
    </w:p>
    <w:p>
      <w:pPr>
        <w:pStyle w:val="Normal"/>
        <w:pageBreakBefore w:val="false"/>
        <w:widowControl/>
        <w:shd w:color="auto" w:fill="FFFFFF" w:val="clear"/>
        <w:ind w:firstLine="480"/>
        <w:rPr>
          <w:rFonts w:ascii="宋体" w:cs="宋体" w:eastAsia="宋体" w:hAnsi="宋体"/>
          <w:color w:val="333333"/>
          <w:kern w:val="0"/>
          <w:sz w:val="24"/>
          <w:szCs w:val="24"/>
        </w:rPr>
      </w:pPr>
      <w:r>
        <w:t/>
      </w:r>
    </w:p>
    <w:p>
      <w:pPr>
        <w:pStyle w:val="Normal"/>
        <w:widowControl/>
        <w:shd w:color="auto" w:fill="FFFFFF" w:val="clear"/>
        <w:ind w:firstLine="480"/>
        <w:rPr>
          <w:rFonts w:ascii="宋体" w:cs="宋体" w:eastAsia="宋体" w:hAnsi="宋体"/>
          <w:color w:val="333333"/>
          <w:kern w:val="0"/>
          <w:sz w:val="24"/>
          <w:szCs w:val="24"/>
        </w:rPr>
      </w:pPr>
      <w:r>
        <w:rPr/>
      </w:r>
    </w:p>
    <w:p>
      <w:pPr>
        <w:pStyle w:val="Normal"/>
        <w:keepNext w:val="false"/>
        <w:keepLines w:val="false"/>
        <w:widowControl/>
        <w:shd w:fill="FFFFFF" w:val="clear"/>
        <w:spacing w:after="0" w:before="0" w:line="580" w:lineRule="exact"/>
        <w:ind w:end="0" w:firstLine="640"/>
        <w:jc w:val="start"/>
        <w:rPr/>
      </w:pPr>
      <w:r>
        <w:rPr>
          <w:rFonts w:ascii="黑体" w:cs="仿宋" w:eastAsia="黑体" w:hAnsi="黑体"/>
          <w:kern w:val="0"/>
          <w:sz w:val="32"/>
          <w:szCs w:val="32"/>
          <w:shd w:fill="FFFFFF" w:val="clear"/>
          <w:lang w:bidi="ar-SA" w:eastAsia="zh-CN" w:val="en-US"/>
        </w:rPr>
        <w:t>二、主动公开政府信息情况</w:t>
      </w:r>
    </w:p>
    <w:tbl>
      <w:tblPr>
        <w:tblW w:type="dxa" w:w="8733"/>
        <w:jc w:val="center"/>
        <w:tblInd w:type="dxa" w:w="0"/>
        <w:tblLayout w:type="fixed"/>
        <w:tblCellMar>
          <w:top w:type="dxa" w:w="0"/>
          <w:start w:type="dxa" w:w="108"/>
          <w:bottom w:type="dxa" w:w="0"/>
          <w:end w:type="dxa" w:w="108"/>
        </w:tblCellMar>
      </w:tblPr>
      <w:tblGrid>
        <w:gridCol w:w="3046"/>
        <w:gridCol w:w="1999"/>
        <w:gridCol w:w="1650"/>
        <w:gridCol w:w="2037"/>
      </w:tblGrid>
      <w:tr>
        <w:trPr>
          <w:trHeight w:hRule="atLeast" w:val="495"/>
        </w:trPr>
        <w:tc>
          <w:tcPr>
            <w:tcW w:type="dxa" w:w="8732"/>
            <w:gridSpan w:val="4"/>
            <w:tcBorders>
              <w:top w:color="000000" w:space="0" w:sz="8" w:val="single"/>
              <w:start w:color="000000" w:space="0" w:sz="8" w:val="single"/>
              <w:bottom w:color="000000" w:space="0" w:sz="8" w:val="single"/>
              <w:end w:color="000000" w:space="0" w:sz="8" w:val="single"/>
            </w:tcBorders>
            <w:shd w:fill="C6D9F1" w:val="clear"/>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第二十条第（一）项</w:t>
            </w:r>
          </w:p>
        </w:tc>
      </w:tr>
      <w:tr>
        <w:trPr>
          <w:trHeight w:hRule="atLeast" w:val="882"/>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信息内容</w:t>
            </w:r>
          </w:p>
        </w:tc>
        <w:tc>
          <w:tcPr>
            <w:tcW w:type="dxa" w:w="1999"/>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本年新</w:t>
            </w:r>
            <w:r>
              <w:rPr>
                <w:rFonts w:ascii="宋体" w:cs="宋体" w:eastAsia="宋体" w:hAnsi="宋体"/>
                <w:kern w:val="0"/>
                <w:sz w:val="24"/>
                <w:szCs w:val="24"/>
                <w:lang w:bidi="ar-SA" w:eastAsia="zh-CN" w:val="en-US"/>
              </w:rPr>
              <w:br/>
            </w:r>
            <w:r>
              <w:rPr>
                <w:rFonts w:ascii="宋体" w:cs="宋体" w:hAnsi="宋体"/>
                <w:kern w:val="0"/>
                <w:sz w:val="24"/>
                <w:szCs w:val="24"/>
                <w:lang w:bidi="ar-SA" w:eastAsia="zh-CN" w:val="en-US"/>
              </w:rPr>
              <w:t>制作数量</w:t>
            </w:r>
          </w:p>
        </w:tc>
        <w:tc>
          <w:tcPr>
            <w:tcW w:type="dxa" w:w="1650"/>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本年新</w:t>
            </w:r>
            <w:r>
              <w:rPr>
                <w:rFonts w:ascii="宋体" w:cs="宋体" w:eastAsia="宋体" w:hAnsi="宋体"/>
                <w:kern w:val="0"/>
                <w:sz w:val="24"/>
                <w:szCs w:val="24"/>
                <w:lang w:bidi="ar-SA" w:eastAsia="zh-CN" w:val="en-US"/>
              </w:rPr>
              <w:br/>
            </w:r>
            <w:r>
              <w:rPr>
                <w:rFonts w:ascii="宋体" w:cs="宋体" w:hAnsi="宋体"/>
                <w:kern w:val="0"/>
                <w:sz w:val="24"/>
                <w:szCs w:val="24"/>
                <w:lang w:bidi="ar-SA" w:eastAsia="zh-CN" w:val="en-US"/>
              </w:rPr>
              <w:t>公开数量</w:t>
            </w:r>
          </w:p>
        </w:tc>
        <w:tc>
          <w:tcPr>
            <w:tcW w:type="dxa" w:w="2037"/>
            <w:tcBorders>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对外公开总数量</w:t>
            </w:r>
          </w:p>
        </w:tc>
      </w:tr>
      <w:tr>
        <w:trPr>
          <w:trHeight w:hRule="atLeast" w:val="523"/>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规章</w:t>
            </w:r>
          </w:p>
        </w:tc>
        <w:tc>
          <w:tcPr>
            <w:tcW w:type="dxa" w:w="1999"/>
            <w:tcBorders>
              <w:bottom w:color="000000" w:space="0" w:sz="8" w:val="single"/>
              <w:end w:color="000000" w:space="0" w:sz="8" w:val="single"/>
            </w:tcBorders>
            <w:vAlign w:val="center"/>
          </w:tcPr>
          <w:p>
            <w:r>
              <w:t>0</w:t>
            </w:r>
          </w:p>
        </w:tc>
        <w:tc>
          <w:tcPr>
            <w:tcW w:type="dxa" w:w="1650"/>
            <w:tcBorders>
              <w:bottom w:color="000000" w:space="0" w:sz="8" w:val="single"/>
              <w:end w:color="000000" w:space="0" w:sz="8" w:val="single"/>
            </w:tcBorders>
            <w:vAlign w:val="center"/>
          </w:tcPr>
          <w:p>
            <w:r>
              <w:t>0</w:t>
            </w:r>
          </w:p>
        </w:tc>
        <w:tc>
          <w:tcPr>
            <w:tcW w:type="dxa" w:w="2037"/>
            <w:tcBorders>
              <w:bottom w:color="000000" w:space="0" w:sz="8" w:val="single"/>
              <w:end w:color="000000" w:space="0" w:sz="8" w:val="single"/>
            </w:tcBorders>
            <w:vAlign w:val="center"/>
          </w:tcPr>
          <w:p>
            <w:r>
              <w:t>0</w:t>
            </w:r>
          </w:p>
        </w:tc>
      </w:tr>
      <w:tr>
        <w:trPr>
          <w:trHeight w:hRule="atLeast" w:val="471"/>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规范性文件</w:t>
            </w:r>
          </w:p>
        </w:tc>
        <w:tc>
          <w:tcPr>
            <w:tcW w:type="dxa" w:w="1999"/>
            <w:tcBorders>
              <w:bottom w:color="000000" w:space="0" w:sz="8" w:val="single"/>
              <w:end w:color="000000" w:space="0" w:sz="8" w:val="single"/>
            </w:tcBorders>
            <w:vAlign w:val="center"/>
          </w:tcPr>
          <w:p>
            <w:r>
              <w:t>0</w:t>
            </w:r>
          </w:p>
        </w:tc>
        <w:tc>
          <w:tcPr>
            <w:tcW w:type="dxa" w:w="1650"/>
            <w:tcBorders>
              <w:bottom w:color="000000" w:space="0" w:sz="8" w:val="single"/>
              <w:end w:color="000000" w:space="0" w:sz="8" w:val="single"/>
            </w:tcBorders>
            <w:vAlign w:val="center"/>
          </w:tcPr>
          <w:p>
            <w:r>
              <w:t>0</w:t>
            </w:r>
          </w:p>
        </w:tc>
        <w:tc>
          <w:tcPr>
            <w:tcW w:type="dxa" w:w="2037"/>
            <w:tcBorders>
              <w:bottom w:color="000000" w:space="0" w:sz="8" w:val="single"/>
              <w:end w:color="000000" w:space="0" w:sz="8" w:val="single"/>
            </w:tcBorders>
            <w:vAlign w:val="center"/>
          </w:tcPr>
          <w:p>
            <w:r>
              <w:t>0</w:t>
            </w:r>
          </w:p>
        </w:tc>
      </w:tr>
      <w:tr>
        <w:trPr>
          <w:trHeight w:hRule="atLeast" w:val="480"/>
        </w:trPr>
        <w:tc>
          <w:tcPr>
            <w:tcW w:type="dxa" w:w="8732"/>
            <w:gridSpan w:val="4"/>
            <w:tcBorders>
              <w:start w:color="000000" w:space="0" w:sz="8" w:val="single"/>
              <w:bottom w:color="000000" w:space="0" w:sz="8" w:val="single"/>
              <w:end w:color="000000" w:space="0" w:sz="8" w:val="single"/>
            </w:tcBorders>
            <w:shd w:fill="C6D9F1" w:val="clear"/>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第二十条第（五）项</w:t>
            </w:r>
          </w:p>
        </w:tc>
      </w:tr>
      <w:tr>
        <w:trPr>
          <w:trHeight w:hRule="atLeast" w:val="634"/>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信息内容</w:t>
            </w:r>
          </w:p>
        </w:tc>
        <w:tc>
          <w:tcPr>
            <w:tcW w:type="dxa" w:w="1999"/>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上一年项目数量</w:t>
            </w:r>
          </w:p>
        </w:tc>
        <w:tc>
          <w:tcPr>
            <w:tcW w:type="dxa" w:w="1650"/>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本年增</w:t>
            </w:r>
            <w:r>
              <w:rPr>
                <w:rFonts w:ascii="宋体" w:cs="宋体" w:eastAsia="宋体" w:hAnsi="宋体"/>
                <w:kern w:val="0"/>
                <w:sz w:val="24"/>
                <w:szCs w:val="24"/>
                <w:lang w:bidi="ar-SA" w:eastAsia="zh-CN" w:val="en-US"/>
              </w:rPr>
              <w:t>/</w:t>
            </w:r>
            <w:r>
              <w:rPr>
                <w:rFonts w:ascii="宋体" w:cs="宋体" w:hAnsi="宋体"/>
                <w:kern w:val="0"/>
                <w:sz w:val="24"/>
                <w:szCs w:val="24"/>
                <w:lang w:bidi="ar-SA" w:eastAsia="zh-CN" w:val="en-US"/>
              </w:rPr>
              <w:t>减</w:t>
            </w:r>
          </w:p>
        </w:tc>
        <w:tc>
          <w:tcPr>
            <w:tcW w:type="dxa" w:w="2037"/>
            <w:tcBorders>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处理决定数量</w:t>
            </w:r>
          </w:p>
        </w:tc>
      </w:tr>
      <w:tr>
        <w:trPr>
          <w:trHeight w:hRule="atLeast" w:val="528"/>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行政许可</w:t>
            </w:r>
          </w:p>
        </w:tc>
        <w:tc>
          <w:tcPr>
            <w:tcW w:type="dxa" w:w="1999"/>
            <w:tcBorders>
              <w:bottom w:color="000000" w:space="0" w:sz="8" w:val="single"/>
              <w:end w:color="000000" w:space="0" w:sz="8" w:val="single"/>
            </w:tcBorders>
            <w:vAlign w:val="center"/>
          </w:tcPr>
          <w:p>
            <w:r>
              <w:t>0</w:t>
            </w:r>
          </w:p>
        </w:tc>
        <w:tc>
          <w:tcPr>
            <w:tcW w:type="dxa" w:w="1650"/>
            <w:tcBorders>
              <w:bottom w:color="000000" w:space="0" w:sz="8" w:val="single"/>
              <w:end w:color="000000" w:space="0" w:sz="8" w:val="single"/>
            </w:tcBorders>
            <w:vAlign w:val="center"/>
          </w:tcPr>
          <w:p>
            <w:r>
              <w:t>0</w:t>
            </w:r>
          </w:p>
        </w:tc>
        <w:tc>
          <w:tcPr>
            <w:tcW w:type="dxa" w:w="2037"/>
            <w:tcBorders>
              <w:bottom w:color="000000" w:space="0" w:sz="8" w:val="single"/>
              <w:end w:color="000000" w:space="0" w:sz="8" w:val="single"/>
            </w:tcBorders>
            <w:vAlign w:val="center"/>
          </w:tcPr>
          <w:p>
            <w:r>
              <w:t>0</w:t>
            </w:r>
          </w:p>
        </w:tc>
      </w:tr>
      <w:tr>
        <w:trPr>
          <w:trHeight w:hRule="atLeast" w:val="550"/>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其他对外管理服务事项</w:t>
            </w:r>
          </w:p>
        </w:tc>
        <w:tc>
          <w:tcPr>
            <w:tcW w:type="dxa" w:w="1999"/>
            <w:tcBorders>
              <w:bottom w:color="000000" w:space="0" w:sz="8" w:val="single"/>
              <w:end w:color="000000" w:space="0" w:sz="8" w:val="single"/>
            </w:tcBorders>
            <w:vAlign w:val="center"/>
          </w:tcPr>
          <w:p>
            <w:r>
              <w:t>0</w:t>
            </w:r>
          </w:p>
        </w:tc>
        <w:tc>
          <w:tcPr>
            <w:tcW w:type="dxa" w:w="1650"/>
            <w:tcBorders>
              <w:bottom w:color="000000" w:space="0" w:sz="8" w:val="single"/>
              <w:end w:color="000000" w:space="0" w:sz="8" w:val="single"/>
            </w:tcBorders>
            <w:vAlign w:val="center"/>
          </w:tcPr>
          <w:p>
            <w:r>
              <w:t>0</w:t>
            </w:r>
          </w:p>
        </w:tc>
        <w:tc>
          <w:tcPr>
            <w:tcW w:type="dxa" w:w="2037"/>
            <w:tcBorders>
              <w:bottom w:color="000000" w:space="0" w:sz="8" w:val="single"/>
              <w:end w:color="000000" w:space="0" w:sz="8" w:val="single"/>
            </w:tcBorders>
            <w:vAlign w:val="center"/>
          </w:tcPr>
          <w:p>
            <w:r>
              <w:t>0</w:t>
            </w:r>
          </w:p>
        </w:tc>
      </w:tr>
      <w:tr>
        <w:trPr>
          <w:trHeight w:hRule="atLeast" w:val="406"/>
        </w:trPr>
        <w:tc>
          <w:tcPr>
            <w:tcW w:type="dxa" w:w="8732"/>
            <w:gridSpan w:val="4"/>
            <w:tcBorders>
              <w:start w:color="000000" w:space="0" w:sz="8" w:val="single"/>
              <w:bottom w:color="000000" w:space="0" w:sz="8" w:val="single"/>
              <w:end w:color="000000" w:space="0" w:sz="8" w:val="single"/>
            </w:tcBorders>
            <w:shd w:fill="C6D9F1" w:val="clear"/>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第二十条第（六）项</w:t>
            </w:r>
          </w:p>
        </w:tc>
      </w:tr>
      <w:tr>
        <w:trPr>
          <w:trHeight w:hRule="atLeast" w:val="634"/>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信息内容</w:t>
            </w:r>
          </w:p>
        </w:tc>
        <w:tc>
          <w:tcPr>
            <w:tcW w:type="dxa" w:w="1999"/>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上一年项目数量</w:t>
            </w:r>
          </w:p>
        </w:tc>
        <w:tc>
          <w:tcPr>
            <w:tcW w:type="dxa" w:w="1650"/>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本年增</w:t>
            </w:r>
            <w:r>
              <w:rPr>
                <w:rFonts w:ascii="宋体" w:cs="宋体" w:eastAsia="宋体" w:hAnsi="宋体"/>
                <w:kern w:val="0"/>
                <w:sz w:val="24"/>
                <w:szCs w:val="24"/>
                <w:lang w:bidi="ar-SA" w:eastAsia="zh-CN" w:val="en-US"/>
              </w:rPr>
              <w:t>/</w:t>
            </w:r>
            <w:r>
              <w:rPr>
                <w:rFonts w:ascii="宋体" w:cs="宋体" w:hAnsi="宋体"/>
                <w:kern w:val="0"/>
                <w:sz w:val="24"/>
                <w:szCs w:val="24"/>
                <w:lang w:bidi="ar-SA" w:eastAsia="zh-CN" w:val="en-US"/>
              </w:rPr>
              <w:t>减</w:t>
            </w:r>
          </w:p>
        </w:tc>
        <w:tc>
          <w:tcPr>
            <w:tcW w:type="dxa" w:w="2037"/>
            <w:tcBorders>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处理决定数量</w:t>
            </w:r>
          </w:p>
        </w:tc>
      </w:tr>
      <w:tr>
        <w:trPr>
          <w:trHeight w:hRule="atLeast" w:val="430"/>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行政处罚</w:t>
            </w:r>
          </w:p>
        </w:tc>
        <w:tc>
          <w:tcPr>
            <w:tcW w:type="dxa" w:w="1999"/>
            <w:tcBorders>
              <w:bottom w:color="000000" w:space="0" w:sz="8" w:val="single"/>
              <w:end w:color="000000" w:space="0" w:sz="8" w:val="single"/>
            </w:tcBorders>
            <w:vAlign w:val="center"/>
          </w:tcPr>
          <w:p>
            <w:r>
              <w:t>0</w:t>
            </w:r>
          </w:p>
        </w:tc>
        <w:tc>
          <w:tcPr>
            <w:tcW w:type="dxa" w:w="1650"/>
            <w:tcBorders>
              <w:bottom w:color="000000" w:space="0" w:sz="8" w:val="single"/>
              <w:end w:color="000000" w:space="0" w:sz="8" w:val="single"/>
            </w:tcBorders>
            <w:vAlign w:val="center"/>
          </w:tcPr>
          <w:p>
            <w:r>
              <w:t>0</w:t>
            </w:r>
          </w:p>
        </w:tc>
        <w:tc>
          <w:tcPr>
            <w:tcW w:type="dxa" w:w="2037"/>
            <w:tcBorders>
              <w:bottom w:color="000000" w:space="0" w:sz="8" w:val="single"/>
              <w:end w:color="000000" w:space="0" w:sz="8" w:val="single"/>
            </w:tcBorders>
            <w:vAlign w:val="center"/>
          </w:tcPr>
          <w:p>
            <w:r>
              <w:t>0</w:t>
            </w:r>
          </w:p>
        </w:tc>
      </w:tr>
      <w:tr>
        <w:trPr>
          <w:trHeight w:hRule="atLeast" w:val="409"/>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行政强制</w:t>
            </w:r>
          </w:p>
        </w:tc>
        <w:tc>
          <w:tcPr>
            <w:tcW w:type="dxa" w:w="1999"/>
            <w:tcBorders>
              <w:bottom w:color="000000" w:space="0" w:sz="8" w:val="single"/>
              <w:end w:color="000000" w:space="0" w:sz="8" w:val="single"/>
            </w:tcBorders>
            <w:vAlign w:val="center"/>
          </w:tcPr>
          <w:p>
            <w:r>
              <w:t>0</w:t>
            </w:r>
          </w:p>
        </w:tc>
        <w:tc>
          <w:tcPr>
            <w:tcW w:type="dxa" w:w="1650"/>
            <w:tcBorders>
              <w:bottom w:color="000000" w:space="0" w:sz="8" w:val="single"/>
              <w:end w:color="000000" w:space="0" w:sz="8" w:val="single"/>
            </w:tcBorders>
            <w:vAlign w:val="center"/>
          </w:tcPr>
          <w:p>
            <w:r>
              <w:t>0</w:t>
            </w:r>
          </w:p>
        </w:tc>
        <w:tc>
          <w:tcPr>
            <w:tcW w:type="dxa" w:w="2037"/>
            <w:tcBorders>
              <w:bottom w:color="000000" w:space="0" w:sz="8" w:val="single"/>
              <w:end w:color="000000" w:space="0" w:sz="8" w:val="single"/>
            </w:tcBorders>
            <w:vAlign w:val="center"/>
          </w:tcPr>
          <w:p>
            <w:r>
              <w:t>0</w:t>
            </w:r>
          </w:p>
        </w:tc>
      </w:tr>
      <w:tr>
        <w:trPr>
          <w:trHeight w:hRule="atLeast" w:val="474"/>
        </w:trPr>
        <w:tc>
          <w:tcPr>
            <w:tcW w:type="dxa" w:w="8732"/>
            <w:gridSpan w:val="4"/>
            <w:tcBorders>
              <w:start w:color="000000" w:space="0" w:sz="8" w:val="single"/>
              <w:bottom w:color="000000" w:space="0" w:sz="8" w:val="single"/>
              <w:end w:color="000000" w:space="0" w:sz="8" w:val="single"/>
            </w:tcBorders>
            <w:shd w:fill="C6D9F1" w:val="clear"/>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第二十条第（八）项</w:t>
            </w:r>
          </w:p>
        </w:tc>
      </w:tr>
      <w:tr>
        <w:trPr>
          <w:trHeight w:hRule="atLeast" w:val="270"/>
        </w:trPr>
        <w:tc>
          <w:tcPr>
            <w:tcW w:type="dxa" w:w="3046"/>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信息内容</w:t>
            </w:r>
          </w:p>
        </w:tc>
        <w:tc>
          <w:tcPr>
            <w:tcW w:type="dxa" w:w="1999"/>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上一年项目数量</w:t>
            </w:r>
          </w:p>
        </w:tc>
        <w:tc>
          <w:tcPr>
            <w:tcW w:type="dxa" w:w="3687"/>
            <w:gridSpan w:val="2"/>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本年增</w:t>
            </w:r>
            <w:r>
              <w:rPr>
                <w:rFonts w:ascii="宋体" w:cs="宋体" w:eastAsia="宋体" w:hAnsi="宋体"/>
                <w:kern w:val="0"/>
                <w:sz w:val="24"/>
                <w:szCs w:val="24"/>
                <w:lang w:bidi="ar-SA" w:eastAsia="zh-CN" w:val="en-US"/>
              </w:rPr>
              <w:t>/</w:t>
            </w:r>
            <w:r>
              <w:rPr>
                <w:rFonts w:ascii="宋体" w:cs="宋体" w:hAnsi="宋体"/>
                <w:kern w:val="0"/>
                <w:sz w:val="24"/>
                <w:szCs w:val="24"/>
                <w:lang w:bidi="ar-SA" w:eastAsia="zh-CN" w:val="en-US"/>
              </w:rPr>
              <w:t>减</w:t>
            </w:r>
          </w:p>
        </w:tc>
      </w:tr>
      <w:tr>
        <w:trPr>
          <w:trHeight w:hRule="atLeast" w:val="551"/>
        </w:trPr>
        <w:tc>
          <w:tcPr>
            <w:tcW w:type="dxa" w:w="3046"/>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行政事业性收费</w:t>
            </w:r>
          </w:p>
        </w:tc>
        <w:tc>
          <w:tcPr>
            <w:tcW w:type="dxa" w:w="1999"/>
            <w:tcBorders>
              <w:top w:color="000000" w:space="0" w:sz="8" w:val="single"/>
              <w:start w:color="000000" w:space="0" w:sz="8" w:val="single"/>
              <w:bottom w:color="000000" w:space="0" w:sz="8" w:val="single"/>
              <w:end w:color="000000" w:space="0" w:sz="8" w:val="single"/>
            </w:tcBorders>
            <w:vAlign w:val="center"/>
          </w:tcPr>
          <w:p>
            <w:r>
              <w:t>0</w:t>
            </w:r>
          </w:p>
        </w:tc>
        <w:tc>
          <w:tcPr>
            <w:tcW w:type="dxa" w:w="3687"/>
            <w:gridSpan w:val="2"/>
            <w:tcBorders>
              <w:top w:color="000000" w:space="0" w:sz="8" w:val="single"/>
              <w:start w:color="000000" w:space="0" w:sz="8" w:val="single"/>
              <w:bottom w:color="000000" w:space="0" w:sz="8" w:val="single"/>
              <w:end w:color="000000" w:space="0" w:sz="8" w:val="single"/>
            </w:tcBorders>
            <w:vAlign w:val="center"/>
          </w:tcPr>
          <w:p>
            <w:r>
              <w:t>0</w:t>
            </w:r>
          </w:p>
        </w:tc>
      </w:tr>
      <w:tr>
        <w:trPr>
          <w:trHeight w:hRule="atLeast" w:val="476"/>
        </w:trPr>
        <w:tc>
          <w:tcPr>
            <w:tcW w:type="dxa" w:w="8732"/>
            <w:gridSpan w:val="4"/>
            <w:tcBorders>
              <w:top w:color="000000" w:space="0" w:sz="8" w:val="single"/>
              <w:start w:color="000000" w:space="0" w:sz="8" w:val="single"/>
              <w:bottom w:color="000000" w:space="0" w:sz="8" w:val="single"/>
              <w:end w:color="000000" w:space="0" w:sz="8" w:val="single"/>
            </w:tcBorders>
            <w:shd w:fill="C6D9F1" w:val="clear"/>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第二十条第（九）项</w:t>
            </w:r>
          </w:p>
        </w:tc>
      </w:tr>
      <w:tr>
        <w:trPr>
          <w:trHeight w:hRule="atLeast" w:val="585"/>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信息内容</w:t>
            </w:r>
          </w:p>
        </w:tc>
        <w:tc>
          <w:tcPr>
            <w:tcW w:type="dxa" w:w="1999"/>
            <w:tcBorders>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采购项目数量</w:t>
            </w:r>
          </w:p>
        </w:tc>
        <w:tc>
          <w:tcPr>
            <w:tcW w:type="dxa" w:w="3687"/>
            <w:gridSpan w:val="2"/>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采购总金额</w:t>
            </w:r>
          </w:p>
        </w:tc>
      </w:tr>
      <w:tr>
        <w:trPr>
          <w:trHeight w:hRule="atLeast" w:val="539"/>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政府集中采购</w:t>
            </w:r>
          </w:p>
        </w:tc>
        <w:tc>
          <w:tcPr>
            <w:tcW w:type="dxa" w:w="1999"/>
            <w:tcBorders>
              <w:bottom w:color="000000" w:space="0" w:sz="8" w:val="single"/>
              <w:end w:color="000000" w:space="0" w:sz="8" w:val="single"/>
            </w:tcBorders>
            <w:vAlign w:val="center"/>
          </w:tcPr>
          <w:p>
            <w:r>
              <w:t>0</w:t>
            </w:r>
          </w:p>
        </w:tc>
        <w:tc>
          <w:tcPr>
            <w:tcW w:type="dxa" w:w="3687"/>
            <w:gridSpan w:val="2"/>
            <w:tcBorders>
              <w:bottom w:color="000000" w:space="0" w:sz="8" w:val="single"/>
              <w:end w:color="000000" w:space="0" w:sz="8" w:val="single"/>
            </w:tcBorders>
            <w:vAlign w:val="center"/>
          </w:tcPr>
          <w:p>
            <w:r>
              <w:t>0</w:t>
            </w:r>
          </w:p>
        </w:tc>
      </w:tr>
    </w:tbl>
    <w:p>
      <w:pPr>
        <w:pStyle w:val="Normal"/>
        <w:keepNext w:val="false"/>
        <w:keepLines w:val="false"/>
        <w:widowControl/>
        <w:shd w:fill="FFFFFF" w:val="clear"/>
        <w:spacing w:after="0" w:before="0" w:line="580" w:lineRule="exact"/>
        <w:ind w:end="0" w:firstLine="640"/>
        <w:jc w:val="start"/>
        <w:rPr/>
      </w:pPr>
      <w:r>
        <w:rPr>
          <w:rFonts w:ascii="黑体" w:cs="仿宋" w:eastAsia="黑体" w:hAnsi="黑体"/>
          <w:kern w:val="0"/>
          <w:sz w:val="32"/>
          <w:szCs w:val="32"/>
          <w:shd w:fill="FFFFFF" w:val="clear"/>
          <w:lang w:bidi="ar-SA" w:eastAsia="zh-CN" w:val="en-US"/>
        </w:rPr>
        <w:t>三、收到和处理政府信息公开申请情况</w:t>
      </w:r>
    </w:p>
    <w:tbl>
      <w:tblPr>
        <w:tblW w:type="dxa" w:w="8892"/>
        <w:jc w:val="center"/>
        <w:tblInd w:type="dxa" w:w="0"/>
        <w:tblLayout w:type="fixed"/>
        <w:tblCellMar>
          <w:top w:type="dxa" w:w="0"/>
          <w:start w:type="dxa" w:w="108"/>
          <w:bottom w:type="dxa" w:w="0"/>
          <w:end w:type="dxa" w:w="108"/>
        </w:tblCellMar>
      </w:tblPr>
      <w:tblGrid>
        <w:gridCol w:w="754"/>
        <w:gridCol w:w="980"/>
        <w:gridCol w:w="1810"/>
        <w:gridCol w:w="961"/>
        <w:gridCol w:w="806"/>
        <w:gridCol w:w="680"/>
        <w:gridCol w:w="959"/>
        <w:gridCol w:w="864"/>
        <w:gridCol w:w="598"/>
        <w:gridCol w:w="479"/>
      </w:tblGrid>
      <w:tr>
        <w:trPr>
          <w:trHeight w:hRule="atLeast" w:val="266"/>
        </w:trPr>
        <w:tc>
          <w:tcPr>
            <w:tcW w:type="dxa" w:w="3544"/>
            <w:gridSpan w:val="3"/>
            <w:vMerge w:val="restart"/>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spacing w:val="-2"/>
                <w:kern w:val="0"/>
                <w:szCs w:val="21"/>
                <w:lang w:val="en-US"/>
              </w:rPr>
            </w:pPr>
            <w:r>
              <w:rPr>
                <w:rFonts w:ascii="仿宋_GB2312" w:cs="宋体" w:eastAsia="仿宋_GB2312" w:hAnsi="仿宋_GB2312"/>
                <w:spacing w:val="-2"/>
                <w:kern w:val="0"/>
                <w:sz w:val="21"/>
                <w:szCs w:val="21"/>
                <w:lang w:bidi="ar-SA" w:eastAsia="zh-CN" w:val="en-US"/>
              </w:rPr>
              <w:t>（本列数据的勾稽关系为：第一项加第二项之和，等于第三项加第四项之和）</w:t>
            </w:r>
          </w:p>
        </w:tc>
        <w:tc>
          <w:tcPr>
            <w:tcW w:type="dxa" w:w="5347"/>
            <w:gridSpan w:val="7"/>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申请人情况</w:t>
            </w:r>
          </w:p>
        </w:tc>
      </w:tr>
      <w:tr>
        <w:trPr>
          <w:trHeight w:hRule="atLeast" w:val="150"/>
        </w:trPr>
        <w:tc>
          <w:tcPr>
            <w:tcW w:type="dxa" w:w="3544"/>
            <w:gridSpan w:val="3"/>
            <w:vMerge w:val="continue"/>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61"/>
            <w:vMerge w:val="restart"/>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自然人</w:t>
            </w:r>
          </w:p>
        </w:tc>
        <w:tc>
          <w:tcPr>
            <w:tcW w:type="dxa" w:w="3907"/>
            <w:gridSpan w:val="5"/>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法人或其他组织</w:t>
            </w:r>
          </w:p>
        </w:tc>
        <w:tc>
          <w:tcPr>
            <w:tcW w:type="dxa" w:w="479"/>
            <w:vMerge w:val="restart"/>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总计</w:t>
            </w:r>
          </w:p>
        </w:tc>
      </w:tr>
      <w:tr>
        <w:trPr>
          <w:trHeight w:hRule="atLeast" w:val="150"/>
        </w:trPr>
        <w:tc>
          <w:tcPr>
            <w:tcW w:type="dxa" w:w="3544"/>
            <w:gridSpan w:val="3"/>
            <w:vMerge w:val="continue"/>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61"/>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806"/>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商业企业</w:t>
            </w:r>
          </w:p>
        </w:tc>
        <w:tc>
          <w:tcPr>
            <w:tcW w:type="dxa" w:w="68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科研机构</w:t>
            </w:r>
          </w:p>
        </w:tc>
        <w:tc>
          <w:tcPr>
            <w:tcW w:type="dxa" w:w="959"/>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社会公益组织</w:t>
            </w:r>
          </w:p>
        </w:tc>
        <w:tc>
          <w:tcPr>
            <w:tcW w:type="dxa" w:w="864"/>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法律服务机构</w:t>
            </w:r>
          </w:p>
        </w:tc>
        <w:tc>
          <w:tcPr>
            <w:tcW w:type="dxa" w:w="598"/>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其他</w:t>
            </w:r>
          </w:p>
        </w:tc>
        <w:tc>
          <w:tcPr>
            <w:tcW w:type="dxa" w:w="479"/>
            <w:vMerge w:val="continue"/>
            <w:tcBorders>
              <w:top w:color="000000" w:space="0" w:sz="8" w:val="single"/>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r>
      <w:tr>
        <w:trPr>
          <w:trHeight w:hRule="atLeast" w:val="399"/>
        </w:trPr>
        <w:tc>
          <w:tcPr>
            <w:tcW w:type="dxa" w:w="3544"/>
            <w:gridSpan w:val="3"/>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一、本年新收政府信息公开申请数量</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426"/>
        </w:trPr>
        <w:tc>
          <w:tcPr>
            <w:tcW w:type="dxa" w:w="3544"/>
            <w:gridSpan w:val="3"/>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二、上年结转政府信息公开申请数量</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397"/>
        </w:trPr>
        <w:tc>
          <w:tcPr>
            <w:tcW w:type="dxa" w:w="754"/>
            <w:vMerge w:val="restart"/>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三、本年度办理结果</w:t>
            </w:r>
          </w:p>
        </w:tc>
        <w:tc>
          <w:tcPr>
            <w:tcW w:type="dxa" w:w="2790"/>
            <w:gridSpan w:val="2"/>
            <w:tcBorders>
              <w:top w:color="000000" w:space="0" w:sz="8" w:val="single"/>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（一）予以公开</w:t>
            </w:r>
          </w:p>
        </w:tc>
        <w:tc>
          <w:tcPr>
            <w:tcW w:type="dxa" w:w="961"/>
            <w:tcBorders>
              <w:top w:color="000000" w:space="0" w:sz="8" w:val="single"/>
              <w:bottom w:color="000000" w:space="0" w:sz="8" w:val="single"/>
              <w:end w:color="000000" w:space="0" w:sz="8" w:val="single"/>
            </w:tcBorders>
            <w:vAlign w:val="center"/>
          </w:tcPr>
          <w:p>
            <w:r>
              <w:t>0</w:t>
            </w:r>
          </w:p>
        </w:tc>
        <w:tc>
          <w:tcPr>
            <w:tcW w:type="dxa" w:w="806"/>
            <w:tcBorders>
              <w:top w:color="000000" w:space="0" w:sz="8" w:val="single"/>
              <w:bottom w:color="000000" w:space="0" w:sz="8" w:val="single"/>
              <w:end w:color="000000" w:space="0" w:sz="8" w:val="single"/>
            </w:tcBorders>
            <w:vAlign w:val="center"/>
          </w:tcPr>
          <w:p>
            <w:r>
              <w:t>0</w:t>
            </w:r>
          </w:p>
        </w:tc>
        <w:tc>
          <w:tcPr>
            <w:tcW w:type="dxa" w:w="680"/>
            <w:tcBorders>
              <w:top w:color="000000" w:space="0" w:sz="8" w:val="single"/>
              <w:bottom w:color="000000" w:space="0" w:sz="8" w:val="single"/>
              <w:end w:color="000000" w:space="0" w:sz="8" w:val="single"/>
            </w:tcBorders>
            <w:vAlign w:val="center"/>
          </w:tcPr>
          <w:p>
            <w:r>
              <w:t>0</w:t>
            </w:r>
          </w:p>
        </w:tc>
        <w:tc>
          <w:tcPr>
            <w:tcW w:type="dxa" w:w="959"/>
            <w:tcBorders>
              <w:top w:color="000000" w:space="0" w:sz="8" w:val="single"/>
              <w:bottom w:color="000000" w:space="0" w:sz="8" w:val="single"/>
              <w:end w:color="000000" w:space="0" w:sz="8" w:val="single"/>
            </w:tcBorders>
            <w:vAlign w:val="center"/>
          </w:tcPr>
          <w:p>
            <w:r>
              <w:t>0</w:t>
            </w:r>
          </w:p>
        </w:tc>
        <w:tc>
          <w:tcPr>
            <w:tcW w:type="dxa" w:w="864"/>
            <w:tcBorders>
              <w:top w:color="000000" w:space="0" w:sz="8" w:val="single"/>
              <w:bottom w:color="000000" w:space="0" w:sz="8" w:val="single"/>
              <w:end w:color="000000" w:space="0" w:sz="8" w:val="single"/>
            </w:tcBorders>
            <w:vAlign w:val="center"/>
          </w:tcPr>
          <w:p>
            <w:r>
              <w:t>0</w:t>
            </w:r>
          </w:p>
        </w:tc>
        <w:tc>
          <w:tcPr>
            <w:tcW w:type="dxa" w:w="598"/>
            <w:tcBorders>
              <w:top w:color="000000" w:space="0" w:sz="8" w:val="single"/>
              <w:bottom w:color="000000" w:space="0" w:sz="8" w:val="single"/>
              <w:end w:color="000000" w:space="0" w:sz="8" w:val="single"/>
            </w:tcBorders>
            <w:vAlign w:val="center"/>
          </w:tcPr>
          <w:p>
            <w:r>
              <w:t>0</w:t>
            </w:r>
          </w:p>
        </w:tc>
        <w:tc>
          <w:tcPr>
            <w:tcW w:type="dxa" w:w="479"/>
            <w:tcBorders>
              <w:top w:color="000000" w:space="0" w:sz="8" w:val="single"/>
              <w:start w:color="000000" w:space="0" w:sz="8" w:val="single"/>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2790"/>
            <w:gridSpan w:val="2"/>
            <w:tcBorders>
              <w:top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（二）部分公开（区分处理的，只计这一情形，不计其他情形）</w:t>
            </w:r>
          </w:p>
        </w:tc>
        <w:tc>
          <w:tcPr>
            <w:tcW w:type="dxa" w:w="961"/>
            <w:tcBorders>
              <w:top w:color="000000" w:space="0" w:sz="8" w:val="single"/>
              <w:bottom w:color="000000" w:space="0" w:sz="8" w:val="single"/>
              <w:end w:color="000000" w:space="0" w:sz="8" w:val="single"/>
            </w:tcBorders>
            <w:vAlign w:val="center"/>
          </w:tcPr>
          <w:p>
            <w:r>
              <w:t>0</w:t>
            </w:r>
          </w:p>
        </w:tc>
        <w:tc>
          <w:tcPr>
            <w:tcW w:type="dxa" w:w="806"/>
            <w:tcBorders>
              <w:top w:color="000000" w:space="0" w:sz="8" w:val="single"/>
              <w:bottom w:color="000000" w:space="0" w:sz="8" w:val="single"/>
              <w:end w:color="000000" w:space="0" w:sz="8" w:val="single"/>
            </w:tcBorders>
            <w:vAlign w:val="center"/>
          </w:tcPr>
          <w:p>
            <w:r>
              <w:t>0</w:t>
            </w:r>
          </w:p>
        </w:tc>
        <w:tc>
          <w:tcPr>
            <w:tcW w:type="dxa" w:w="680"/>
            <w:tcBorders>
              <w:top w:color="000000" w:space="0" w:sz="8" w:val="single"/>
              <w:bottom w:color="000000" w:space="0" w:sz="8" w:val="single"/>
              <w:end w:color="000000" w:space="0" w:sz="8" w:val="single"/>
            </w:tcBorders>
            <w:vAlign w:val="center"/>
          </w:tcPr>
          <w:p>
            <w:r>
              <w:t>0</w:t>
            </w:r>
          </w:p>
        </w:tc>
        <w:tc>
          <w:tcPr>
            <w:tcW w:type="dxa" w:w="959"/>
            <w:tcBorders>
              <w:top w:color="000000" w:space="0" w:sz="8" w:val="single"/>
              <w:bottom w:color="000000" w:space="0" w:sz="8" w:val="single"/>
              <w:end w:color="000000" w:space="0" w:sz="8" w:val="single"/>
            </w:tcBorders>
            <w:vAlign w:val="center"/>
          </w:tcPr>
          <w:p>
            <w:r>
              <w:t>0</w:t>
            </w:r>
          </w:p>
        </w:tc>
        <w:tc>
          <w:tcPr>
            <w:tcW w:type="dxa" w:w="864"/>
            <w:tcBorders>
              <w:top w:color="000000" w:space="0" w:sz="8" w:val="single"/>
              <w:bottom w:color="000000" w:space="0" w:sz="8" w:val="single"/>
              <w:end w:color="000000" w:space="0" w:sz="8" w:val="single"/>
            </w:tcBorders>
            <w:vAlign w:val="center"/>
          </w:tcPr>
          <w:p>
            <w:r>
              <w:t>0</w:t>
            </w:r>
          </w:p>
        </w:tc>
        <w:tc>
          <w:tcPr>
            <w:tcW w:type="dxa" w:w="598"/>
            <w:tcBorders>
              <w:top w:color="000000" w:space="0" w:sz="8" w:val="single"/>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398"/>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restart"/>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（三）不予公开</w:t>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1.</w:t>
            </w:r>
            <w:r>
              <w:rPr>
                <w:rFonts w:ascii="仿宋_GB2312" w:cs="宋体" w:eastAsia="仿宋_GB2312" w:hAnsi="仿宋_GB2312"/>
                <w:kern w:val="0"/>
                <w:sz w:val="21"/>
                <w:szCs w:val="21"/>
                <w:lang w:bidi="ar-SA" w:eastAsia="zh-CN" w:val="en-US"/>
              </w:rPr>
              <w:t>属于国家秘密</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top w:color="000000" w:space="0" w:sz="8" w:val="single"/>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2.</w:t>
            </w:r>
            <w:r>
              <w:rPr>
                <w:rFonts w:ascii="仿宋_GB2312" w:cs="宋体" w:eastAsia="仿宋_GB2312" w:hAnsi="仿宋_GB2312"/>
                <w:kern w:val="0"/>
                <w:sz w:val="21"/>
                <w:szCs w:val="21"/>
                <w:lang w:bidi="ar-SA" w:eastAsia="zh-CN" w:val="en-US"/>
              </w:rPr>
              <w:t>其他法律行政法规禁止公开</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3.</w:t>
            </w:r>
            <w:r>
              <w:rPr>
                <w:rFonts w:ascii="仿宋_GB2312" w:cs="宋体" w:eastAsia="仿宋_GB2312" w:hAnsi="仿宋_GB2312"/>
                <w:kern w:val="0"/>
                <w:sz w:val="21"/>
                <w:szCs w:val="21"/>
                <w:lang w:bidi="ar-SA" w:eastAsia="zh-CN" w:val="en-US"/>
              </w:rPr>
              <w:t>危及“三安全一稳定”</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4.</w:t>
            </w:r>
            <w:r>
              <w:rPr>
                <w:rFonts w:ascii="仿宋_GB2312" w:cs="宋体" w:eastAsia="仿宋_GB2312" w:hAnsi="仿宋_GB2312"/>
                <w:kern w:val="0"/>
                <w:sz w:val="21"/>
                <w:szCs w:val="21"/>
                <w:lang w:bidi="ar-SA" w:eastAsia="zh-CN" w:val="en-US"/>
              </w:rPr>
              <w:t>保护第三方合法权益</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5.</w:t>
            </w:r>
            <w:r>
              <w:rPr>
                <w:rFonts w:ascii="仿宋_GB2312" w:cs="宋体" w:eastAsia="仿宋_GB2312" w:hAnsi="仿宋_GB2312"/>
                <w:kern w:val="0"/>
                <w:sz w:val="21"/>
                <w:szCs w:val="21"/>
                <w:lang w:bidi="ar-SA" w:eastAsia="zh-CN" w:val="en-US"/>
              </w:rPr>
              <w:t>属于三类内部事务信息</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6.</w:t>
            </w:r>
            <w:r>
              <w:rPr>
                <w:rFonts w:ascii="仿宋_GB2312" w:cs="宋体" w:eastAsia="仿宋_GB2312" w:hAnsi="仿宋_GB2312"/>
                <w:kern w:val="0"/>
                <w:sz w:val="21"/>
                <w:szCs w:val="21"/>
                <w:lang w:bidi="ar-SA" w:eastAsia="zh-CN" w:val="en-US"/>
              </w:rPr>
              <w:t>属于四类过程性信息</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7.</w:t>
            </w:r>
            <w:r>
              <w:rPr>
                <w:rFonts w:ascii="仿宋_GB2312" w:cs="宋体" w:eastAsia="仿宋_GB2312" w:hAnsi="仿宋_GB2312"/>
                <w:kern w:val="0"/>
                <w:sz w:val="21"/>
                <w:szCs w:val="21"/>
                <w:lang w:bidi="ar-SA" w:eastAsia="zh-CN" w:val="en-US"/>
              </w:rPr>
              <w:t>属于行政执法案卷</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8.</w:t>
            </w:r>
            <w:r>
              <w:rPr>
                <w:rFonts w:ascii="仿宋_GB2312" w:cs="宋体" w:eastAsia="仿宋_GB2312" w:hAnsi="仿宋_GB2312"/>
                <w:kern w:val="0"/>
                <w:sz w:val="21"/>
                <w:szCs w:val="21"/>
                <w:lang w:bidi="ar-SA" w:eastAsia="zh-CN" w:val="en-US"/>
              </w:rPr>
              <w:t>属于行政查询事项</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restart"/>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（四）无法提供</w:t>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1.</w:t>
            </w:r>
            <w:r>
              <w:rPr>
                <w:rFonts w:ascii="仿宋_GB2312" w:cs="宋体" w:eastAsia="仿宋_GB2312" w:hAnsi="仿宋_GB2312"/>
                <w:kern w:val="0"/>
                <w:sz w:val="21"/>
                <w:szCs w:val="21"/>
                <w:lang w:bidi="ar-SA" w:eastAsia="zh-CN" w:val="en-US"/>
              </w:rPr>
              <w:t>本机关不掌握相关政府信息</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2.</w:t>
            </w:r>
            <w:r>
              <w:rPr>
                <w:rFonts w:ascii="仿宋_GB2312" w:cs="宋体" w:eastAsia="仿宋_GB2312" w:hAnsi="仿宋_GB2312"/>
                <w:kern w:val="0"/>
                <w:sz w:val="21"/>
                <w:szCs w:val="21"/>
                <w:lang w:bidi="ar-SA" w:eastAsia="zh-CN" w:val="en-US"/>
              </w:rPr>
              <w:t>没有现成信息需要另行制作</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3.</w:t>
            </w:r>
            <w:r>
              <w:rPr>
                <w:rFonts w:ascii="仿宋_GB2312" w:cs="宋体" w:eastAsia="仿宋_GB2312" w:hAnsi="仿宋_GB2312"/>
                <w:kern w:val="0"/>
                <w:sz w:val="21"/>
                <w:szCs w:val="21"/>
                <w:lang w:bidi="ar-SA" w:eastAsia="zh-CN" w:val="en-US"/>
              </w:rPr>
              <w:t>补正后申请内容仍不明确</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restart"/>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（五）不予处理</w:t>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1.</w:t>
            </w:r>
            <w:r>
              <w:rPr>
                <w:rFonts w:ascii="仿宋_GB2312" w:cs="宋体" w:eastAsia="仿宋_GB2312" w:hAnsi="仿宋_GB2312"/>
                <w:kern w:val="0"/>
                <w:sz w:val="21"/>
                <w:szCs w:val="21"/>
                <w:lang w:bidi="ar-SA" w:eastAsia="zh-CN" w:val="en-US"/>
              </w:rPr>
              <w:t>信访举报投诉类申请</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2.</w:t>
            </w:r>
            <w:r>
              <w:rPr>
                <w:rFonts w:ascii="仿宋_GB2312" w:cs="宋体" w:eastAsia="仿宋_GB2312" w:hAnsi="仿宋_GB2312"/>
                <w:kern w:val="0"/>
                <w:sz w:val="21"/>
                <w:szCs w:val="21"/>
                <w:lang w:bidi="ar-SA" w:eastAsia="zh-CN" w:val="en-US"/>
              </w:rPr>
              <w:t>重复申请</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3.</w:t>
            </w:r>
            <w:r>
              <w:rPr>
                <w:rFonts w:ascii="仿宋_GB2312" w:cs="宋体" w:eastAsia="仿宋_GB2312" w:hAnsi="仿宋_GB2312"/>
                <w:kern w:val="0"/>
                <w:sz w:val="21"/>
                <w:szCs w:val="21"/>
                <w:lang w:bidi="ar-SA" w:eastAsia="zh-CN" w:val="en-US"/>
              </w:rPr>
              <w:t>要求提供公开出版物</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4.</w:t>
            </w:r>
            <w:r>
              <w:rPr>
                <w:rFonts w:ascii="仿宋_GB2312" w:cs="宋体" w:eastAsia="仿宋_GB2312" w:hAnsi="仿宋_GB2312"/>
                <w:kern w:val="0"/>
                <w:sz w:val="21"/>
                <w:szCs w:val="21"/>
                <w:lang w:bidi="ar-SA" w:eastAsia="zh-CN" w:val="en-US"/>
              </w:rPr>
              <w:t>无正当理由大量反复申请</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5.</w:t>
            </w:r>
            <w:r>
              <w:rPr>
                <w:rFonts w:ascii="仿宋_GB2312" w:cs="宋体" w:eastAsia="仿宋_GB2312" w:hAnsi="仿宋_GB2312"/>
                <w:kern w:val="0"/>
                <w:sz w:val="21"/>
                <w:szCs w:val="21"/>
                <w:lang w:bidi="ar-SA" w:eastAsia="zh-CN" w:val="en-US"/>
              </w:rPr>
              <w:t>要求行政机关确认或重新出具已获取信息</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2790"/>
            <w:gridSpan w:val="2"/>
            <w:tcBorders>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（六）其他处理</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2790"/>
            <w:gridSpan w:val="2"/>
            <w:tcBorders>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（七）总计</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282"/>
        </w:trPr>
        <w:tc>
          <w:tcPr>
            <w:tcW w:type="dxa" w:w="3544"/>
            <w:gridSpan w:val="3"/>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四、结转下年度继续办理</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bl>
    <w:p>
      <w:pPr>
        <w:pStyle w:val="Normal"/>
        <w:keepNext w:val="false"/>
        <w:keepLines w:val="false"/>
        <w:widowControl/>
        <w:shd w:fill="FFFFFF" w:val="clear"/>
        <w:spacing w:after="0" w:before="0" w:line="580" w:lineRule="exact"/>
        <w:ind w:end="0" w:firstLine="640"/>
        <w:jc w:val="start"/>
        <w:rPr/>
      </w:pPr>
      <w:r>
        <w:rPr>
          <w:rFonts w:ascii="黑体" w:cs="仿宋" w:eastAsia="黑体" w:hAnsi="黑体"/>
          <w:kern w:val="0"/>
          <w:sz w:val="32"/>
          <w:szCs w:val="32"/>
          <w:shd w:fill="FFFFFF" w:val="clear"/>
          <w:lang w:bidi="ar-SA" w:eastAsia="zh-CN" w:val="en-US"/>
        </w:rPr>
        <w:t>四、政府信息公开行政复议、行政诉讼情况</w:t>
      </w:r>
    </w:p>
    <w:tbl>
      <w:tblPr>
        <w:tblW w:type="dxa" w:w="8982"/>
        <w:jc w:val="center"/>
        <w:tblInd w:type="dxa" w:w="0"/>
        <w:tblLayout w:type="fixed"/>
        <w:tblCellMar>
          <w:top w:type="dxa" w:w="0"/>
          <w:start w:type="dxa" w:w="108"/>
          <w:bottom w:type="dxa" w:w="0"/>
          <w:end w:type="dxa" w:w="108"/>
        </w:tblCellMar>
      </w:tblPr>
      <w:tblGrid>
        <w:gridCol w:w="565"/>
        <w:gridCol w:w="569"/>
        <w:gridCol w:w="567"/>
        <w:gridCol w:w="566"/>
        <w:gridCol w:w="570"/>
        <w:gridCol w:w="567"/>
        <w:gridCol w:w="566"/>
        <w:gridCol w:w="566"/>
        <w:gridCol w:w="569"/>
        <w:gridCol w:w="568"/>
        <w:gridCol w:w="566"/>
        <w:gridCol w:w="569"/>
        <w:gridCol w:w="567"/>
        <w:gridCol w:w="565"/>
        <w:gridCol w:w="1042"/>
      </w:tblGrid>
      <w:tr>
        <w:trPr/>
        <w:tc>
          <w:tcPr>
            <w:tcW w:type="dxa" w:w="2837"/>
            <w:gridSpan w:val="5"/>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行政复议</w:t>
            </w:r>
          </w:p>
        </w:tc>
        <w:tc>
          <w:tcPr>
            <w:tcW w:type="dxa" w:w="6145"/>
            <w:gridSpan w:val="10"/>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行政诉讼</w:t>
            </w:r>
          </w:p>
        </w:tc>
      </w:tr>
      <w:tr>
        <w:trPr>
          <w:trHeight w:hRule="atLeast" w:val="355"/>
        </w:trPr>
        <w:tc>
          <w:tcPr>
            <w:tcW w:type="dxa" w:w="565"/>
            <w:vMerge w:val="restart"/>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结果维持</w:t>
            </w:r>
          </w:p>
        </w:tc>
        <w:tc>
          <w:tcPr>
            <w:tcW w:type="dxa" w:w="569"/>
            <w:vMerge w:val="restart"/>
            <w:tcBorders>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结果纠正</w:t>
            </w:r>
          </w:p>
        </w:tc>
        <w:tc>
          <w:tcPr>
            <w:tcW w:type="dxa" w:w="567"/>
            <w:vMerge w:val="restart"/>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其他结果</w:t>
            </w:r>
          </w:p>
        </w:tc>
        <w:tc>
          <w:tcPr>
            <w:tcW w:type="dxa" w:w="566"/>
            <w:vMerge w:val="restart"/>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尚未审结</w:t>
            </w:r>
          </w:p>
        </w:tc>
        <w:tc>
          <w:tcPr>
            <w:tcW w:type="dxa" w:w="570"/>
            <w:vMerge w:val="restart"/>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总计</w:t>
            </w:r>
          </w:p>
        </w:tc>
        <w:tc>
          <w:tcPr>
            <w:tcW w:type="dxa" w:w="2836"/>
            <w:gridSpan w:val="5"/>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未经复议直接起诉</w:t>
            </w:r>
          </w:p>
        </w:tc>
        <w:tc>
          <w:tcPr>
            <w:tcW w:type="dxa" w:w="3309"/>
            <w:gridSpan w:val="5"/>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复议后起诉</w:t>
            </w:r>
          </w:p>
        </w:tc>
      </w:tr>
      <w:tr>
        <w:trPr/>
        <w:tc>
          <w:tcPr>
            <w:tcW w:type="dxa" w:w="565"/>
            <w:vMerge w:val="continue"/>
            <w:tcBorders>
              <w:start w:color="000000" w:space="0" w:sz="8" w:val="single"/>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569"/>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567"/>
            <w:vMerge w:val="continue"/>
            <w:tcBorders>
              <w:top w:color="000000" w:space="0" w:sz="8" w:val="single"/>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566"/>
            <w:vMerge w:val="continue"/>
            <w:tcBorders>
              <w:top w:color="000000" w:space="0" w:sz="8" w:val="single"/>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570"/>
            <w:vMerge w:val="continue"/>
            <w:tcBorders>
              <w:top w:color="000000" w:space="0" w:sz="8" w:val="single"/>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567"/>
            <w:tcBorders>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结果维持</w:t>
            </w:r>
          </w:p>
        </w:tc>
        <w:tc>
          <w:tcPr>
            <w:tcW w:type="dxa" w:w="566"/>
            <w:tcBorders>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结果纠正</w:t>
            </w:r>
          </w:p>
        </w:tc>
        <w:tc>
          <w:tcPr>
            <w:tcW w:type="dxa" w:w="566"/>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其他结果</w:t>
            </w:r>
          </w:p>
        </w:tc>
        <w:tc>
          <w:tcPr>
            <w:tcW w:type="dxa" w:w="569"/>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尚未审结</w:t>
            </w:r>
          </w:p>
        </w:tc>
        <w:tc>
          <w:tcPr>
            <w:tcW w:type="dxa" w:w="568"/>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总计</w:t>
            </w:r>
          </w:p>
        </w:tc>
        <w:tc>
          <w:tcPr>
            <w:tcW w:type="dxa" w:w="566"/>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结果维持</w:t>
            </w:r>
          </w:p>
        </w:tc>
        <w:tc>
          <w:tcPr>
            <w:tcW w:type="dxa" w:w="569"/>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结果纠正</w:t>
            </w:r>
          </w:p>
        </w:tc>
        <w:tc>
          <w:tcPr>
            <w:tcW w:type="dxa" w:w="567"/>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其他结果</w:t>
            </w:r>
          </w:p>
        </w:tc>
        <w:tc>
          <w:tcPr>
            <w:tcW w:type="dxa" w:w="565"/>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尚未审结</w:t>
            </w:r>
          </w:p>
        </w:tc>
        <w:tc>
          <w:tcPr>
            <w:tcW w:type="dxa" w:w="1042"/>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总计</w:t>
            </w:r>
          </w:p>
        </w:tc>
      </w:tr>
      <w:tr>
        <w:trPr/>
        <w:tc>
          <w:tcPr>
            <w:tcW w:type="dxa" w:w="565"/>
            <w:tcBorders>
              <w:top w:color="000000" w:space="0" w:sz="8" w:val="single"/>
              <w:start w:color="000000" w:space="0" w:sz="8" w:val="single"/>
              <w:bottom w:color="000000" w:space="0" w:sz="8" w:val="single"/>
              <w:end w:color="000000" w:space="0" w:sz="8" w:val="single"/>
            </w:tcBorders>
            <w:vAlign w:val="center"/>
          </w:tcPr>
          <w:p>
            <w:r>
              <w:t>0</w:t>
            </w:r>
          </w:p>
        </w:tc>
        <w:tc>
          <w:tcPr>
            <w:tcW w:type="dxa" w:w="569"/>
            <w:tcBorders>
              <w:top w:color="000000" w:space="0" w:sz="8" w:val="single"/>
              <w:bottom w:color="000000" w:space="0" w:sz="8" w:val="single"/>
              <w:end w:color="000000" w:space="0" w:sz="8" w:val="single"/>
            </w:tcBorders>
            <w:vAlign w:val="center"/>
          </w:tcPr>
          <w:p>
            <w:r>
              <w:t>0</w:t>
            </w:r>
          </w:p>
        </w:tc>
        <w:tc>
          <w:tcPr>
            <w:tcW w:type="dxa" w:w="567"/>
            <w:tcBorders>
              <w:top w:color="000000" w:space="0" w:sz="8" w:val="single"/>
              <w:bottom w:color="000000" w:space="0" w:sz="8" w:val="single"/>
              <w:end w:color="000000" w:space="0" w:sz="8" w:val="single"/>
            </w:tcBorders>
            <w:vAlign w:val="center"/>
          </w:tcPr>
          <w:p>
            <w:r>
              <w:t>0</w:t>
            </w:r>
          </w:p>
        </w:tc>
        <w:tc>
          <w:tcPr>
            <w:tcW w:type="dxa" w:w="566"/>
            <w:tcBorders>
              <w:top w:color="000000" w:space="0" w:sz="8" w:val="single"/>
              <w:bottom w:color="000000" w:space="0" w:sz="8" w:val="single"/>
              <w:end w:color="000000" w:space="0" w:sz="8" w:val="single"/>
            </w:tcBorders>
            <w:vAlign w:val="center"/>
          </w:tcPr>
          <w:p>
            <w:r>
              <w:t>0</w:t>
            </w:r>
          </w:p>
        </w:tc>
        <w:tc>
          <w:tcPr>
            <w:tcW w:type="dxa" w:w="570"/>
            <w:tcBorders>
              <w:top w:color="000000" w:space="0" w:sz="8" w:val="single"/>
              <w:bottom w:color="000000" w:space="0" w:sz="8" w:val="single"/>
              <w:end w:color="000000" w:space="0" w:sz="8" w:val="single"/>
            </w:tcBorders>
            <w:vAlign w:val="center"/>
          </w:tcPr>
          <w:p>
            <w:r>
              <w:t>0</w:t>
            </w:r>
          </w:p>
        </w:tc>
        <w:tc>
          <w:tcPr>
            <w:tcW w:type="dxa" w:w="567"/>
            <w:tcBorders>
              <w:top w:color="000000" w:space="0" w:sz="8" w:val="single"/>
              <w:bottom w:color="000000" w:space="0" w:sz="8" w:val="single"/>
              <w:end w:color="000000" w:space="0" w:sz="8" w:val="single"/>
            </w:tcBorders>
            <w:vAlign w:val="center"/>
          </w:tcPr>
          <w:p>
            <w:r>
              <w:t>0</w:t>
            </w:r>
          </w:p>
        </w:tc>
        <w:tc>
          <w:tcPr>
            <w:tcW w:type="dxa" w:w="566"/>
            <w:tcBorders>
              <w:top w:color="000000" w:space="0" w:sz="8" w:val="single"/>
              <w:bottom w:color="000000" w:space="0" w:sz="8" w:val="single"/>
              <w:end w:color="000000" w:space="0" w:sz="8" w:val="single"/>
            </w:tcBorders>
            <w:vAlign w:val="center"/>
          </w:tcPr>
          <w:p>
            <w:r>
              <w:t>0</w:t>
            </w:r>
          </w:p>
        </w:tc>
        <w:tc>
          <w:tcPr>
            <w:tcW w:type="dxa" w:w="566"/>
            <w:tcBorders>
              <w:top w:color="000000" w:space="0" w:sz="8" w:val="single"/>
              <w:bottom w:color="000000" w:space="0" w:sz="8" w:val="single"/>
              <w:end w:color="000000" w:space="0" w:sz="8" w:val="single"/>
            </w:tcBorders>
            <w:vAlign w:val="center"/>
          </w:tcPr>
          <w:p>
            <w:r>
              <w:t>0</w:t>
            </w:r>
          </w:p>
        </w:tc>
        <w:tc>
          <w:tcPr>
            <w:tcW w:type="dxa" w:w="569"/>
            <w:tcBorders>
              <w:top w:color="000000" w:space="0" w:sz="8" w:val="single"/>
              <w:bottom w:color="000000" w:space="0" w:sz="8" w:val="single"/>
              <w:end w:color="000000" w:space="0" w:sz="8" w:val="single"/>
            </w:tcBorders>
            <w:vAlign w:val="center"/>
          </w:tcPr>
          <w:p>
            <w:r>
              <w:t>0</w:t>
            </w:r>
          </w:p>
        </w:tc>
        <w:tc>
          <w:tcPr>
            <w:tcW w:type="dxa" w:w="568"/>
            <w:tcBorders>
              <w:top w:color="000000" w:space="0" w:sz="8" w:val="single"/>
              <w:bottom w:color="000000" w:space="0" w:sz="8" w:val="single"/>
              <w:end w:color="000000" w:space="0" w:sz="8" w:val="single"/>
            </w:tcBorders>
            <w:vAlign w:val="center"/>
          </w:tcPr>
          <w:p>
            <w:r>
              <w:t>0</w:t>
            </w:r>
          </w:p>
        </w:tc>
        <w:tc>
          <w:tcPr>
            <w:tcW w:type="dxa" w:w="566"/>
            <w:tcBorders>
              <w:top w:color="000000" w:space="0" w:sz="8" w:val="single"/>
              <w:bottom w:color="000000" w:space="0" w:sz="8" w:val="single"/>
              <w:end w:color="000000" w:space="0" w:sz="8" w:val="single"/>
            </w:tcBorders>
            <w:vAlign w:val="center"/>
          </w:tcPr>
          <w:p>
            <w:r>
              <w:t>0</w:t>
            </w:r>
          </w:p>
        </w:tc>
        <w:tc>
          <w:tcPr>
            <w:tcW w:type="dxa" w:w="569"/>
            <w:tcBorders>
              <w:top w:color="000000" w:space="0" w:sz="8" w:val="single"/>
              <w:bottom w:color="000000" w:space="0" w:sz="8" w:val="single"/>
              <w:end w:color="000000" w:space="0" w:sz="8" w:val="single"/>
            </w:tcBorders>
            <w:vAlign w:val="center"/>
          </w:tcPr>
          <w:p>
            <w:r>
              <w:t>0</w:t>
            </w:r>
          </w:p>
        </w:tc>
        <w:tc>
          <w:tcPr>
            <w:tcW w:type="dxa" w:w="567"/>
            <w:tcBorders>
              <w:top w:color="000000" w:space="0" w:sz="8" w:val="single"/>
              <w:bottom w:color="000000" w:space="0" w:sz="8" w:val="single"/>
              <w:end w:color="000000" w:space="0" w:sz="8" w:val="single"/>
            </w:tcBorders>
            <w:vAlign w:val="center"/>
          </w:tcPr>
          <w:p>
            <w:r>
              <w:t>0</w:t>
            </w:r>
          </w:p>
        </w:tc>
        <w:tc>
          <w:tcPr>
            <w:tcW w:type="dxa" w:w="565"/>
            <w:tcBorders>
              <w:top w:color="000000" w:space="0" w:sz="8" w:val="single"/>
              <w:bottom w:color="000000" w:space="0" w:sz="8" w:val="single"/>
              <w:end w:color="000000" w:space="0" w:sz="8" w:val="single"/>
            </w:tcBorders>
            <w:vAlign w:val="center"/>
          </w:tcPr>
          <w:p>
            <w:r>
              <w:t>0</w:t>
            </w:r>
          </w:p>
        </w:tc>
        <w:tc>
          <w:tcPr>
            <w:tcW w:type="dxa" w:w="1042"/>
            <w:tcBorders>
              <w:top w:color="000000" w:space="0" w:sz="8" w:val="single"/>
              <w:bottom w:color="000000" w:space="0" w:sz="8" w:val="single"/>
              <w:end w:color="000000" w:space="0" w:sz="8" w:val="single"/>
            </w:tcBorders>
            <w:vAlign w:val="center"/>
          </w:tcPr>
          <w:p>
            <w:r>
              <w:t>0</w:t>
            </w:r>
          </w:p>
        </w:tc>
      </w:tr>
    </w:tbl>
    <w:p>
      <w:pPr>
        <w:pStyle w:val="Normal"/>
        <w:keepNext w:val="false"/>
        <w:keepLines w:val="false"/>
        <w:widowControl/>
        <w:shd w:fill="FFFFFF" w:val="clear"/>
        <w:spacing w:after="0" w:before="0" w:line="580" w:lineRule="exact"/>
        <w:ind w:end="0" w:firstLine="640"/>
        <w:jc w:val="start"/>
        <w:rPr>
          <w:rFonts w:ascii="黑体" w:cs="仿宋" w:eastAsia="黑体" w:hAnsi="黑体"/>
          <w:kern w:val="0"/>
          <w:sz w:val="32"/>
          <w:szCs w:val="32"/>
          <w:shd w:fill="FFFFFF" w:val="clear"/>
          <w:lang w:val="en-US"/>
        </w:rPr>
      </w:pPr>
      <w:r>
        <w:rPr>
          <w:rFonts w:ascii="黑体" w:cs="仿宋" w:eastAsia="黑体" w:hAnsi="黑体"/>
          <w:kern w:val="0"/>
          <w:sz w:val="32"/>
          <w:szCs w:val="32"/>
          <w:shd w:fill="FFFFFF" w:val="clear"/>
          <w:lang w:bidi="ar-SA" w:eastAsia="zh-CN" w:val="en-US"/>
        </w:rPr>
        <w:t>五、存在的主要问题及改进情况</w:t>
      </w:r>
    </w:p>
    <w:p>
      <w:pPr>
        <w:pStyle w:val="Normal"/>
        <w:widowControl/>
        <w:shd w:color="auto" w:fill="FFFFFF" w:val="clear"/>
        <w:ind w:firstLine="480"/>
        <w:rPr>
          <w:rFonts w:ascii="宋体" w:cs="宋体" w:eastAsia="宋体" w:hAnsi="宋体"/>
          <w:color w:val="333333"/>
          <w:kern w:val="0"/>
          <w:sz w:val="24"/>
          <w:szCs w:val="24"/>
        </w:rPr>
      </w:pPr>
      <w:r>
        <w:t>（一）工作中存在的主要问题和困难。主要办公室人员少，经办人员业务有待于进一步加强，操作不够规范；信息公开工作机制有待于完善；信息公开的范围和内容有待于扩大完善；网上更新还不够及时。</w:t>
      </w:r>
    </w:p>
    <w:p>
      <w:pPr>
        <w:pStyle w:val="Normal"/>
        <w:widowControl/>
        <w:shd w:color="auto" w:fill="FFFFFF" w:val="clear"/>
        <w:ind w:firstLine="480"/>
        <w:rPr>
          <w:rFonts w:ascii="宋体" w:cs="宋体" w:eastAsia="宋体" w:hAnsi="宋体"/>
          <w:color w:val="333333"/>
          <w:kern w:val="0"/>
          <w:sz w:val="24"/>
          <w:szCs w:val="24"/>
        </w:rPr>
      </w:pPr>
      <w:r>
        <w:t>（二）具体解决办法和改进措施。下一步，我局将认真查找分析存在问题和困难，积极整改，全面提高信息公开工作质量。一是加大培训力度，提高业务操作水平；二是完善公开制度，发挥信息公开工作监督小组作用，加大督促检查力度，促进相关制度的落实；三是规范公开内容和形式，充实主动公开的政府信息内容，拓宽信息来源的渠道，不断调整扩大政府信息公开的范围；四是及时增补更新公开信息，提高信息公开的实用性、针对性和时效性。</w:t>
      </w:r>
    </w:p>
    <w:p>
      <w:pPr>
        <w:pStyle w:val="Normal"/>
        <w:widowControl/>
        <w:shd w:color="auto" w:fill="FFFFFF" w:val="clear"/>
        <w:ind w:firstLine="480"/>
        <w:rPr>
          <w:rFonts w:ascii="宋体" w:cs="宋体" w:eastAsia="宋体" w:hAnsi="宋体"/>
          <w:color w:val="333333"/>
          <w:kern w:val="0"/>
          <w:sz w:val="24"/>
          <w:szCs w:val="24"/>
        </w:rPr>
      </w:pPr>
      <w:r>
        <w:t/>
      </w:r>
    </w:p>
    <w:p>
      <w:pPr>
        <w:pStyle w:val="Normal"/>
        <w:widowControl/>
        <w:shd w:color="auto" w:fill="FFFFFF" w:val="clear"/>
        <w:ind w:firstLine="480"/>
        <w:rPr>
          <w:rFonts w:ascii="宋体" w:cs="宋体" w:eastAsia="宋体" w:hAnsi="宋体"/>
          <w:color w:val="333333"/>
          <w:kern w:val="0"/>
          <w:sz w:val="24"/>
          <w:szCs w:val="24"/>
        </w:rPr>
      </w:pPr>
      <w:r>
        <w:rPr/>
      </w:r>
    </w:p>
    <w:p>
      <w:pPr>
        <w:pStyle w:val="Normal"/>
        <w:keepNext w:val="false"/>
        <w:keepLines w:val="false"/>
        <w:widowControl/>
        <w:shd w:fill="FFFFFF" w:val="clear"/>
        <w:spacing w:after="0" w:before="0" w:line="580" w:lineRule="exact"/>
        <w:ind w:end="0"/>
        <w:jc w:val="start"/>
        <w:rPr>
          <w:rFonts w:ascii="黑体" w:cs="仿宋" w:eastAsia="黑体" w:hAnsi="黑体"/>
          <w:kern w:val="0"/>
          <w:sz w:val="32"/>
          <w:szCs w:val="32"/>
          <w:shd w:fill="FFFFFF" w:val="clear"/>
          <w:lang w:val="en-US"/>
        </w:rPr>
      </w:pPr>
      <w:r>
        <w:rPr>
          <w:rFonts w:ascii="黑体" w:cs="仿宋" w:eastAsia="黑体" w:hAnsi="黑体"/>
          <w:kern w:val="0"/>
          <w:sz w:val="32"/>
          <w:szCs w:val="32"/>
          <w:shd w:fill="FFFFFF" w:val="clear"/>
          <w:lang w:bidi="ar-SA" w:eastAsia="zh-CN" w:val="en-US"/>
        </w:rPr>
        <w:t>　　六、其他需要报告的事项</w:t>
      </w:r>
    </w:p>
    <w:p>
      <w:pPr>
        <w:pStyle w:val="Normal"/>
        <w:pageBreakBefore w:val="false"/>
        <w:widowControl/>
        <w:shd w:color="auto" w:fill="FFFFFF" w:val="clear"/>
        <w:ind w:firstLine="480"/>
        <w:jc w:val="start"/>
        <w:rPr>
          <w:rFonts w:ascii="宋体" w:cs="宋体" w:eastAsia="宋体" w:hAnsi="宋体"/>
          <w:color w:val="333333"/>
          <w:kern w:val="0"/>
          <w:sz w:val="24"/>
          <w:szCs w:val="24"/>
        </w:rPr>
      </w:pPr>
      <w:r>
        <w:t>无其他报告事项</w:t>
      </w:r>
    </w:p>
    <w:sectPr>
      <w:type w:val="nextPage"/>
      <w:pgSz w:h="15840" w:w="12240"/>
      <w:pgMar w:bottom="1440" w:footer="0" w:gutter="0" w:header="0" w:left="1800" w:right="1800" w:top="1440"/>
      <w:pgNumType w:fmt="decimal"/>
      <w:formProt w:val="false"/>
      <w:textDirection w:val="lrTb"/>
      <w:docGrid w:charSpace="0" w:linePitch="312" w:type="lines"/>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86"/>
    <w:family w:val="roman"/>
    <w:pitch w:val="variable"/>
  </w:font>
  <w:font w:name="Calibri">
    <w:charset w:val="86"/>
    <w:family w:val="roman"/>
    <w:pitch w:val="variable"/>
  </w:font>
  <w:font w:name="Liberation Sans">
    <w:altName w:val="Arial"/>
    <w:charset w:val="86"/>
    <w:family w:val="roman"/>
    <w:pitch w:val="variable"/>
  </w:font>
  <w:font w:name="宋体">
    <w:charset w:val="86"/>
    <w:family w:val="roman"/>
    <w:pitch w:val="variable"/>
  </w:font>
  <w:font w:name="黑体">
    <w:charset w:val="86"/>
    <w:family w:val="roman"/>
    <w:pitch w:val="variable"/>
  </w:font>
  <w:font w:name="仿宋_GB2312">
    <w:charset w:val="86"/>
    <w:family w:val="roman"/>
    <w:pitch w:val="variable"/>
  </w:font>
  <w:font w:name="Times New Roman">
    <w:charset w:val="86"/>
    <w:family w:val="roman"/>
    <w:pitch w:val="variable"/>
  </w:font>
</w:fonts>
</file>

<file path=word/numbering.xml><?xml version="1.0" encoding="utf-8"?>
<w:numbering xmlns:mc="http://schemas.openxmlformats.org/markup-compatibility/2006" xmlns:o="urn:schemas-microsoft-com:office:office" xmlns:r="http://schemas.openxmlformats.org/officeDocument/2006/relationships" xmlns:v="urn:schemas-microsoft-com:vml" xmlns:w="http://schemas.openxmlformats.org/wordprocessingml/2006/main" xmlns:w14="http://schemas.microsoft.com/office/word/2010/wordml" mc:Ignorable="w14">
  <w:abstractNum w:abstractNumId="1">
    <w:lvl w:ilvl="0">
      <w:start w:val="1"/>
      <w:numFmt w:val="chineseCountingThousand"/>
      <w:suff w:val="nothing"/>
      <w:lvlText w:val="%1、"/>
      <w:lvlJc w:val="start"/>
      <w:pPr>
        <w:tabs>
          <w:tab w:pos="0" w:val="num"/>
        </w:tabs>
        <w:ind w:hanging="0" w:start="1440"/>
      </w:pPr>
      <w:rPr/>
    </w:lvl>
    <w:lvl w:ilvl="1">
      <w:start w:val="1"/>
      <w:numFmt w:val="decimal"/>
      <w:lvlText w:val="%2."/>
      <w:lvlJc w:val="start"/>
      <w:pPr>
        <w:tabs>
          <w:tab w:pos="0" w:val="num"/>
        </w:tabs>
        <w:ind w:hanging="360" w:start="1440"/>
      </w:pPr>
      <w:rPr/>
    </w:lvl>
    <w:lvl w:ilvl="2">
      <w:start w:val="1"/>
      <w:numFmt w:val="decimal"/>
      <w:lvlText w:val="%3."/>
      <w:lvlJc w:val="start"/>
      <w:pPr>
        <w:tabs>
          <w:tab w:pos="0" w:val="num"/>
        </w:tabs>
        <w:ind w:hanging="360" w:start="2160"/>
      </w:pPr>
      <w:rPr/>
    </w:lvl>
    <w:lvl w:ilvl="3">
      <w:start w:val="1"/>
      <w:numFmt w:val="decimal"/>
      <w:lvlText w:val="%4."/>
      <w:lvlJc w:val="start"/>
      <w:pPr>
        <w:tabs>
          <w:tab w:pos="0" w:val="num"/>
        </w:tabs>
        <w:ind w:hanging="360" w:start="2880"/>
      </w:pPr>
      <w:rPr/>
    </w:lvl>
    <w:lvl w:ilvl="4">
      <w:start w:val="1"/>
      <w:numFmt w:val="decimal"/>
      <w:lvlText w:val="%5."/>
      <w:lvlJc w:val="start"/>
      <w:pPr>
        <w:tabs>
          <w:tab w:pos="0" w:val="num"/>
        </w:tabs>
        <w:ind w:hanging="360" w:start="3600"/>
      </w:pPr>
      <w:rPr/>
    </w:lvl>
    <w:lvl w:ilvl="5">
      <w:start w:val="1"/>
      <w:numFmt w:val="decimal"/>
      <w:lvlText w:val="%6."/>
      <w:lvlJc w:val="start"/>
      <w:pPr>
        <w:tabs>
          <w:tab w:pos="0" w:val="num"/>
        </w:tabs>
        <w:ind w:hanging="360" w:start="4320"/>
      </w:pPr>
      <w:rPr/>
    </w:lvl>
    <w:lvl w:ilvl="6">
      <w:start w:val="1"/>
      <w:numFmt w:val="decimal"/>
      <w:lvlText w:val="%7."/>
      <w:lvlJc w:val="start"/>
      <w:pPr>
        <w:tabs>
          <w:tab w:pos="0" w:val="num"/>
        </w:tabs>
        <w:ind w:hanging="360" w:start="5040"/>
      </w:pPr>
      <w:rPr/>
    </w:lvl>
    <w:lvl w:ilvl="7">
      <w:start w:val="1"/>
      <w:numFmt w:val="decimal"/>
      <w:lvlText w:val="%8."/>
      <w:lvlJc w:val="start"/>
      <w:pPr>
        <w:tabs>
          <w:tab w:pos="0" w:val="num"/>
        </w:tabs>
        <w:ind w:hanging="360" w:start="5760"/>
      </w:pPr>
      <w:rPr/>
    </w:lvl>
    <w:lvl w:ilvl="8">
      <w:start w:val="1"/>
      <w:numFmt w:val="decimal"/>
      <w:lvlText w:val="%9."/>
      <w:lvlJc w:val="start"/>
      <w:pPr>
        <w:tabs>
          <w:tab w:pos="0" w:val="num"/>
        </w:tabs>
        <w:ind w:hanging="360" w:start="6480"/>
      </w:pPr>
      <w:rPr/>
    </w:lvl>
  </w:abstractNum>
  <w:abstractNum w:abstractNumId="2">
    <w:lvl w:ilvl="0">
      <w:start w:val="1"/>
      <w:numFmt w:val="none"/>
      <w:suff w:val="nothing"/>
      <w:lvlText w:val=""/>
      <w:lvlJc w:val="start"/>
      <w:pPr>
        <w:tabs>
          <w:tab w:pos="0" w:val="num"/>
        </w:tabs>
        <w:ind w:hanging="0" w:start="0"/>
      </w:pPr>
    </w:lvl>
    <w:lvl w:ilvl="1">
      <w:start w:val="1"/>
      <w:numFmt w:val="none"/>
      <w:suff w:val="nothing"/>
      <w:lvlText w:val=""/>
      <w:lvlJc w:val="start"/>
      <w:pPr>
        <w:tabs>
          <w:tab w:pos="0" w:val="num"/>
        </w:tabs>
        <w:ind w:hanging="0" w:start="0"/>
      </w:pPr>
    </w:lvl>
    <w:lvl w:ilvl="2">
      <w:start w:val="1"/>
      <w:numFmt w:val="none"/>
      <w:suff w:val="nothing"/>
      <w:lvlText w:val=""/>
      <w:lvlJc w:val="start"/>
      <w:pPr>
        <w:tabs>
          <w:tab w:pos="0" w:val="num"/>
        </w:tabs>
        <w:ind w:hanging="0" w:start="0"/>
      </w:pPr>
    </w:lvl>
    <w:lvl w:ilvl="3">
      <w:start w:val="1"/>
      <w:numFmt w:val="none"/>
      <w:suff w:val="nothing"/>
      <w:lvlText w:val=""/>
      <w:lvlJc w:val="start"/>
      <w:pPr>
        <w:tabs>
          <w:tab w:pos="0" w:val="num"/>
        </w:tabs>
        <w:ind w:hanging="0" w:start="0"/>
      </w:pPr>
    </w:lvl>
    <w:lvl w:ilvl="4">
      <w:start w:val="1"/>
      <w:numFmt w:val="none"/>
      <w:suff w:val="nothing"/>
      <w:lvlText w:val=""/>
      <w:lvlJc w:val="start"/>
      <w:pPr>
        <w:tabs>
          <w:tab w:pos="0" w:val="num"/>
        </w:tabs>
        <w:ind w:hanging="0" w:start="0"/>
      </w:pPr>
    </w:lvl>
    <w:lvl w:ilvl="5">
      <w:start w:val="1"/>
      <w:numFmt w:val="none"/>
      <w:suff w:val="nothing"/>
      <w:lvlText w:val=""/>
      <w:lvlJc w:val="start"/>
      <w:pPr>
        <w:tabs>
          <w:tab w:pos="0" w:val="num"/>
        </w:tabs>
        <w:ind w:hanging="0" w:start="0"/>
      </w:pPr>
    </w:lvl>
    <w:lvl w:ilvl="6">
      <w:start w:val="1"/>
      <w:numFmt w:val="none"/>
      <w:suff w:val="nothing"/>
      <w:lvlText w:val=""/>
      <w:lvlJc w:val="start"/>
      <w:pPr>
        <w:tabs>
          <w:tab w:pos="0" w:val="num"/>
        </w:tabs>
        <w:ind w:hanging="0" w:start="0"/>
      </w:pPr>
    </w:lvl>
    <w:lvl w:ilvl="7">
      <w:start w:val="1"/>
      <w:numFmt w:val="none"/>
      <w:suff w:val="nothing"/>
      <w:lvlText w:val=""/>
      <w:lvlJc w:val="start"/>
      <w:pPr>
        <w:tabs>
          <w:tab w:pos="0" w:val="num"/>
        </w:tabs>
        <w:ind w:hanging="0" w:start="0"/>
      </w:pPr>
    </w:lvl>
    <w:lvl w:ilvl="8">
      <w:start w:val="1"/>
      <w:numFmt w:val="none"/>
      <w:suff w:val="nothing"/>
      <w:lvlText w:val=""/>
      <w:lvlJc w:val="start"/>
      <w:pPr>
        <w:tabs>
          <w:tab w:pos="0" w:val="num"/>
        </w:tabs>
        <w:ind w:hanging="0" w:start="0"/>
      </w:pPr>
    </w:lvl>
  </w:abstractNum>
  <w:num w:numId="1">
    <w:abstractNumId w:val="1"/>
  </w:num>
  <w:num w:numId="2">
    <w:abstractNumId w:val="2"/>
  </w:num>
</w:numbering>
</file>

<file path=word/settings.xml><?xml version="1.0" encoding="utf-8"?>
<w:settings xmlns:w="http://schemas.openxmlformats.org/wordprocessingml/2006/main">
  <w:zoom w:percent="130"/>
  <w:defaultTabStop w:val="420"/>
  <w:autoHyphenation w:val="true"/>
  <w:compat>
    <w:noLeading/>
    <w:doNotExpandShiftReturn/>
    <w:compatSetting w:name="compatibilityMode" w:uri="http://schemas.microsoft.com/office/word" w:val="11"/>
  </w:compat>
  <w:themeFontLang w:bidi="" w:eastAsia=""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Liberation Serif" w:cs="Arial" w:eastAsia="新宋体" w:hAnsi="Liberation Serif"/>
        <w:sz w:val="24"/>
        <w:szCs w:val="24"/>
        <w:lang w:bidi="hi-IN" w:eastAsia="zh-CN" w:val="en-US"/>
      </w:rPr>
    </w:rPrDefault>
    <w:pPrDefault>
      <w:pPr>
        <w:suppressAutoHyphens w:val="true"/>
      </w:pPr>
    </w:pPrDefault>
  </w:docDefaults>
  <w:style w:styleId="Normal" w:type="paragraph">
    <w:name w:val="Normal"/>
    <w:qFormat/>
    <w:pPr>
      <w:widowControl w:val="false"/>
      <w:suppressAutoHyphens w:val="true"/>
      <w:bidi w:val="0"/>
      <w:spacing w:after="0" w:before="0"/>
      <w:jc w:val="both"/>
    </w:pPr>
    <w:rPr>
      <w:rFonts w:ascii="Calibri" w:cs="Times New Roman" w:eastAsia="宋体" w:hAnsi="Calibri"/>
      <w:color w:val="auto"/>
      <w:kern w:val="2"/>
      <w:sz w:val="21"/>
      <w:szCs w:val="24"/>
      <w:lang w:bidi="ar-SA" w:eastAsia="zh-CN" w:val="en-US"/>
    </w:rPr>
  </w:style>
  <w:style w:styleId="Style14" w:type="character">
    <w:name w:val="默认段落字体"/>
    <w:qFormat/>
    <w:rPr/>
  </w:style>
  <w:style w:styleId="Style15" w:type="paragraph">
    <w:name w:val="标题样式"/>
    <w:basedOn w:val="Normal"/>
    <w:next w:val="BodyText"/>
    <w:qFormat/>
    <w:pPr>
      <w:keepNext w:val="true"/>
      <w:spacing w:after="120" w:before="240"/>
    </w:pPr>
    <w:rPr>
      <w:rFonts w:ascii="Liberation Sans" w:cs="Arial" w:eastAsia="微软雅黑" w:hAnsi="Liberation Sans"/>
      <w:sz w:val="28"/>
      <w:szCs w:val="28"/>
    </w:rPr>
  </w:style>
  <w:style w:styleId="BodyText" w:type="paragraph">
    <w:name w:val="Body Text"/>
    <w:basedOn w:val="Normal"/>
    <w:pPr>
      <w:spacing w:after="140" w:before="0" w:line="276" w:lineRule="auto"/>
    </w:pPr>
    <w:rPr/>
  </w:style>
  <w:style w:styleId="List" w:type="paragraph">
    <w:name w:val="List"/>
    <w:basedOn w:val="BodyText"/>
    <w:pPr/>
    <w:rPr>
      <w:rFonts w:cs="Arial"/>
    </w:rPr>
  </w:style>
  <w:style w:styleId="Caption" w:type="paragraph">
    <w:name w:val="Caption"/>
    <w:basedOn w:val="Normal"/>
    <w:qFormat/>
    <w:pPr>
      <w:suppressLineNumbers/>
      <w:spacing w:after="120" w:before="120"/>
    </w:pPr>
    <w:rPr>
      <w:rFonts w:cs="Arial"/>
      <w:i/>
      <w:iCs/>
      <w:sz w:val="24"/>
      <w:szCs w:val="24"/>
    </w:rPr>
  </w:style>
  <w:style w:styleId="Style16" w:type="paragraph">
    <w:name w:val="索引"/>
    <w:basedOn w:val="Normal"/>
    <w:qFormat/>
    <w:pPr>
      <w:suppressLineNumbers/>
    </w:pPr>
    <w:rPr>
      <w:rFonts w:cs="Arial"/>
    </w:rPr>
  </w:style>
  <w:style w:styleId="Style17" w:type="paragraph">
    <w:name w:val="表格内容"/>
    <w:basedOn w:val="Normal"/>
    <w:qFormat/>
    <w:pPr>
      <w:widowControl w:val="false"/>
      <w:suppressLineNumbers/>
    </w:pPr>
    <w:rPr/>
  </w:style>
  <w:style w:styleId="Style18" w:type="paragraph">
    <w:name w:val="表格标题"/>
    <w:basedOn w:val="Style17"/>
    <w:qFormat/>
    <w:pPr>
      <w:suppressLineNumbers/>
      <w:jc w:val="center"/>
    </w:pPr>
    <w:rPr>
      <w:b/>
      <w:bCs/>
    </w:rPr>
  </w:style>
  <w:style w:styleId="WW8Num1" w:type="numbering">
    <w:name w:val="WW8Num1"/>
    <w:qFormat/>
  </w:style>
</w:style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 Id="rId3" Target="fontTable.xml" Type="http://schemas.openxmlformats.org/officeDocument/2006/relationships/fontTable"/>
<Relationship Id="rId4" Target="settings.xml" Type="http://schemas.openxmlformats.org/officeDocument/2006/relationships/settings"/>
<Relationship Id="rId5" Target="theme/theme1.xml" Type="http://schemas.openxmlformats.org/officeDocument/2006/relationships/theme"/>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6</TotalTime>
  <Application>LibreOffice/7.6.2.1$Windows_X86_64 LibreOffice_project/56f7684011345957bbf33a7ee678afaf4d2ba333</Application>
  <AppVersion>15.0000</AppVersion>
  <Pages>3</Pages>
  <Words>910</Words>
  <Characters>982</Characters>
  <CharactersWithSpaces>986</CharactersWithSpaces>
  <Paragraphs>295</Paragraphs>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2021-01-06T08:53:00Z</dcterms:created>
  <dc:creator>离开丶</dc:creator>
  <dc:language>zh-CN</dc:language>
  <cp:lastPrinted>2021-01-06T16:35:00Z</cp:lastPrinted>
  <dcterms:modified xsi:type="dcterms:W3CDTF">2024-01-13T19:48:27Z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name="KSOProductBuildVer" pid="2">
    <vt:lpwstr>2052-10.1.0.7245</vt:lpwstr>
  </property>
</Properties>
</file>