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义马市自然资源和规划局2020年政府信息公开工作年度报告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积极建立健全政务信息公开工作机制。一是强化组织领导。成立了信息化工作领导小组，并指定了专人负责此项工作。二是建立健全信息公开工作制度。依据《中华人民共和国政府信息公开条例》和市政府办公室要求，出台政务信息公开保密和审查制度，严格区分主动公开、依申请公开、不予公开工作信息。三是完善政务信息公开指南和目录。本着高效、快捷、便民的原则，及时完善分中心政务信息公开指南和目录。四是加强政务信息公开载体建设。利用网站政务公开栏主动公开相关文件，公民、法人和其他组织均可登陆网站，按照标题、文号等方式进行查询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单位政务信息公开工作虽然取得了一定进展，但离市委、市政府和人民群众的要求还有一定的差距。一是政务信息公开力度有待进一步加大，二是政务信息公开的内容还不够全面，三是信息公开更新还不够及时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为此，我中心将采取以下改进措施：一是加大信息公开力度。进一步完善信息公开制度，强化信息公开的责任意识、大局意识、服务意识，确保政务信息公开工作及时、准确。二是更好地接受社会公众对信息公开情况的监督。三是大力开展公路法宣传教育活动，增强群众对政务信息公开工作的认知度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