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义马市工业信息化和科技局2019年政府信息公开工作年度报告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2019年度我局没有需要公开的政府信息情况，没有收到政府信息公开申请，没有行政复议、行政诉讼情况。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工信科技局将严格按照《信息公开条例》和《信息处置管理办法》规定，进一步梳理规范我局信息公开目录，充实并完善信息公开内容；进一步强化人员配置和培训，不断提高政府信息公开工作的质量和水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