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
<Relationship Id="rId1" Target="docProps/core.xml" Type="http://schemas.openxmlformats.org/officedocument/2006/relationships/metadata/core-properties"/>
<Relationship Id="rId2" Target="docProps/app.xml" Type="http://schemas.openxmlformats.org/officeDocument/2006/relationships/extended-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14="http://schemas.microsoft.com/office/word/2010/wordprocessingDrawing" xmlns:wpg="http://schemas.microsoft.com/office/word/2010/wordprocessingGroup" xmlns:wps="http://schemas.microsoft.com/office/word/2010/wordprocessingShape" mc:Ignorable="w14 wp14 w15">
  <w:body>
    <w:p>
      <w:pPr>
        <w:pStyle w:val="Normal"/>
        <w:widowControl/>
        <w:shd w:color="auto" w:fill="FFFFFF" w:val="clear"/>
        <w:rPr>
          <w:rFonts w:ascii="宋体" w:cs="宋体" w:eastAsia="宋体" w:hAnsi="宋体"/>
          <w:b/>
          <w:bCs/>
          <w:color w:val="333333"/>
          <w:kern w:val="0"/>
          <w:sz w:val="24"/>
          <w:szCs w:val="24"/>
        </w:rPr>
      </w:pPr>
      <w:r>
        <w:rPr>
          <w:rFonts w:ascii="宋体" w:cs="宋体" w:eastAsia="宋体" w:hAnsi="宋体"/>
          <w:b/>
          <w:bCs/>
          <w:color w:val="333333"/>
          <w:kern w:val="0"/>
          <w:sz w:val="24"/>
          <w:szCs w:val="24"/>
        </w:rPr>
      </w:r>
    </w:p>
    <w:p>
      <w:pPr>
        <w:pStyle w:val="Normal"/>
        <w:widowControl/>
        <w:shd w:color="auto" w:fill="FFFFFF" w:val="clear"/>
        <w:jc w:val="center"/>
        <w:rPr>
          <w:rFonts w:ascii="宋体" w:cs="宋体" w:eastAsia="宋体" w:hAnsi="宋体"/>
          <w:color w:val="333333"/>
          <w:kern w:val="0"/>
          <w:sz w:val="24"/>
          <w:szCs w:val="24"/>
        </w:rPr>
      </w:pPr>
      <w:r>
        <w:rPr>
          <w:rFonts w:ascii="宋体" w:cs="宋体" w:eastAsia="宋体" w:hAnsi="宋体"/>
          <w:b/>
          <w:bCs/>
          <w:color w:val="333333"/>
          <w:kern w:val="0"/>
          <w:sz w:val="36"/>
          <w:szCs w:val="36"/>
          <w:shd w:fill="FFFFFF" w:val="clear"/>
          <w:lang w:bidi="ar-SA" w:eastAsia="zh-CN" w:val="en-US"/>
        </w:rPr>
        <w:t>义马市城市管理局2019年政府信息公开工作年度报告</w:t>
      </w:r>
    </w:p>
    <w:p>
      <w:pPr>
        <w:pStyle w:val="Normal"/>
        <w:keepNext w:val="false"/>
        <w:keepLines w:val="false"/>
        <w:widowControl/>
        <w:numPr>
          <w:ilvl w:val="0"/>
          <w:numId w:val="0"/>
        </w:numPr>
        <w:shd w:fill="FFFFFF" w:val="clear"/>
        <w:spacing w:after="0" w:before="0" w:line="580" w:lineRule="exact"/>
        <w:ind w:end="0" w:hanging="0" w:start="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val="en-US"/>
        </w:rPr>
      </w:r>
    </w:p>
    <w:p>
      <w:pPr>
        <w:pStyle w:val="Normal"/>
        <w:keepNext w:val="false"/>
        <w:keepLines w:val="false"/>
        <w:widowControl/>
        <w:numPr>
          <w:ilvl w:val="0"/>
          <w:numId w:val="1"/>
        </w:numPr>
        <w:shd w:fill="FFFFFF" w:val="clear"/>
        <w:spacing w:after="0" w:before="0" w:line="580" w:lineRule="exact"/>
        <w:ind w:end="0" w:firstLine="640" w:start="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总体情况</w:t>
      </w:r>
    </w:p>
    <w:p>
      <w:pPr>
        <w:pStyle w:val="Normal"/>
        <w:pageBreakBefore w:val="false"/>
        <w:widowControl/>
        <w:shd w:color="auto" w:fill="FFFFFF" w:val="clear"/>
        <w:ind w:firstLine="480"/>
        <w:rPr>
          <w:rFonts w:ascii="宋体" w:cs="宋体" w:eastAsia="宋体" w:hAnsi="宋体"/>
          <w:color w:val="333333"/>
          <w:kern w:val="0"/>
          <w:sz w:val="24"/>
          <w:szCs w:val="24"/>
        </w:rPr>
      </w:pPr>
      <w:r>
        <w:t>义马市城市管理局</w:t>
      </w:r>
    </w:p>
    <w:p>
      <w:pPr>
        <w:pStyle w:val="Normal"/>
        <w:pageBreakBefore w:val="false"/>
        <w:widowControl/>
        <w:shd w:color="auto" w:fill="FFFFFF" w:val="clear"/>
        <w:ind w:firstLine="480"/>
        <w:rPr>
          <w:rFonts w:ascii="宋体" w:cs="宋体" w:eastAsia="宋体" w:hAnsi="宋体"/>
          <w:color w:val="333333"/>
          <w:kern w:val="0"/>
          <w:sz w:val="24"/>
          <w:szCs w:val="24"/>
        </w:rPr>
      </w:pPr>
      <w:r>
        <w:t>2019年政府信息公开工作年度报告</w:t>
      </w:r>
    </w:p>
    <w:p>
      <w:pPr>
        <w:pStyle w:val="Normal"/>
        <w:pageBreakBefore w:val="false"/>
        <w:widowControl/>
        <w:shd w:color="auto" w:fill="FFFFFF" w:val="clear"/>
        <w:ind w:firstLine="480"/>
        <w:rPr>
          <w:rFonts w:ascii="宋体" w:cs="宋体" w:eastAsia="宋体" w:hAnsi="宋体"/>
          <w:color w:val="333333"/>
          <w:kern w:val="0"/>
          <w:sz w:val="24"/>
          <w:szCs w:val="24"/>
        </w:rPr>
      </w:pPr>
      <w:r>
        <w:t>一、总体情况</w:t>
      </w:r>
    </w:p>
    <w:p>
      <w:pPr>
        <w:pStyle w:val="Normal"/>
        <w:pageBreakBefore w:val="false"/>
        <w:widowControl/>
        <w:shd w:color="auto" w:fill="FFFFFF" w:val="clear"/>
        <w:ind w:firstLine="480"/>
        <w:rPr>
          <w:rFonts w:ascii="宋体" w:cs="宋体" w:eastAsia="宋体" w:hAnsi="宋体"/>
          <w:color w:val="333333"/>
          <w:kern w:val="0"/>
          <w:sz w:val="24"/>
          <w:szCs w:val="24"/>
        </w:rPr>
      </w:pPr>
      <w:r>
        <w:t>为贯彻落实好政务公开工作，2019年城市管理局严格按照《中华人民共和国政府信息公开条例》、《国务院办公厅关于加强和规范政府信息公开情况统计报送工作的通知》、按照河南省人民政府办公厅政务公开办公室对政府信息公开工作年度报告编制和发布有关工作的要求、《三门峡市人民政府办公室政务公开办公室关于做好2019年政府信息公开工作年度报告编制发布有关事项的补充通知》等相关文件要求，对日常工作建立有效的监督机制，进一步提高办事公开透明度和办事效率，现将一年来的工作情况总结如下：</w:t>
      </w:r>
    </w:p>
    <w:p>
      <w:pPr>
        <w:pStyle w:val="Normal"/>
        <w:pageBreakBefore w:val="false"/>
        <w:widowControl/>
        <w:shd w:color="auto" w:fill="FFFFFF" w:val="clear"/>
        <w:ind w:firstLine="480"/>
        <w:rPr>
          <w:rFonts w:ascii="宋体" w:cs="宋体" w:eastAsia="宋体" w:hAnsi="宋体"/>
          <w:color w:val="333333"/>
          <w:kern w:val="0"/>
          <w:sz w:val="24"/>
          <w:szCs w:val="24"/>
        </w:rPr>
      </w:pPr>
      <w:r>
        <w:t>城管局领导班子高度重视政务公开工作，把政务公开作为提高政务工作透明度、确保人民群众依法获取政务信息的有效途径。要求各二级机构迅速领会各相关文件精神，研究和部署推行政务公开工作。</w:t>
      </w:r>
    </w:p>
    <w:p>
      <w:pPr>
        <w:pStyle w:val="Normal"/>
        <w:pageBreakBefore w:val="false"/>
        <w:widowControl/>
        <w:shd w:color="auto" w:fill="FFFFFF" w:val="clear"/>
        <w:ind w:firstLine="480"/>
        <w:rPr>
          <w:rFonts w:ascii="宋体" w:cs="宋体" w:eastAsia="宋体" w:hAnsi="宋体"/>
          <w:color w:val="333333"/>
          <w:kern w:val="0"/>
          <w:sz w:val="24"/>
          <w:szCs w:val="24"/>
        </w:rPr>
      </w:pPr>
      <w:r>
        <w:t>一是加强领导，规范机制。把推进政务公开工作作为加强党风廉政建设的重要工作来抓，着力建立政务信息公开长效机制，不断完善政务公开工作制度,使政务公开工作规范化、常态化、法制化。</w:t>
      </w:r>
    </w:p>
    <w:p>
      <w:pPr>
        <w:pStyle w:val="Normal"/>
        <w:pageBreakBefore w:val="false"/>
        <w:widowControl/>
        <w:shd w:color="auto" w:fill="FFFFFF" w:val="clear"/>
        <w:ind w:firstLine="480"/>
        <w:rPr>
          <w:rFonts w:ascii="宋体" w:cs="宋体" w:eastAsia="宋体" w:hAnsi="宋体"/>
          <w:color w:val="333333"/>
          <w:kern w:val="0"/>
          <w:sz w:val="24"/>
          <w:szCs w:val="24"/>
        </w:rPr>
      </w:pPr>
      <w:r>
        <w:t>二是优化服务，提高效能。为全面落实市委市政府对行政审批工作的要求，建立了权力清单和责任清单。申请材料通过上传政务平台一次性告知群众，不让群众跑往返路，缩短审批时限，提高了工作效率。</w:t>
      </w:r>
    </w:p>
    <w:p>
      <w:pPr>
        <w:pStyle w:val="Normal"/>
        <w:pageBreakBefore w:val="false"/>
        <w:widowControl/>
        <w:shd w:color="auto" w:fill="FFFFFF" w:val="clear"/>
        <w:ind w:firstLine="480"/>
        <w:rPr>
          <w:rFonts w:ascii="宋体" w:cs="宋体" w:eastAsia="宋体" w:hAnsi="宋体"/>
          <w:color w:val="333333"/>
          <w:kern w:val="0"/>
          <w:sz w:val="24"/>
          <w:szCs w:val="24"/>
        </w:rPr>
      </w:pPr>
      <w:r>
        <w:t>三是加强财务规范管理。领导干部带头严格遵守财经纪律，坚持勤俭节约的原则，规范票据受理和财务开支手续，从严控制审批，保证严密的财务审核、批准和执行程序，财务收支真实、合法。及时公开预决算及“三公”经费预算情况，保证了各项业务工作顺利开展，杜绝各种漏洞的发生。</w:t>
      </w:r>
    </w:p>
    <w:p>
      <w:pPr>
        <w:pStyle w:val="Normal"/>
        <w:pageBreakBefore w:val="false"/>
        <w:widowControl/>
        <w:shd w:color="auto" w:fill="FFFFFF" w:val="clear"/>
        <w:ind w:firstLine="480"/>
        <w:rPr>
          <w:rFonts w:ascii="宋体" w:cs="宋体" w:eastAsia="宋体" w:hAnsi="宋体"/>
          <w:color w:val="333333"/>
          <w:kern w:val="0"/>
          <w:sz w:val="24"/>
          <w:szCs w:val="24"/>
        </w:rPr>
      </w:pPr>
      <w:r>
        <w:t>通过城市管理平台听取各界声音，促进政务公开</w:t>
      </w:r>
    </w:p>
    <w:p>
      <w:pPr>
        <w:pStyle w:val="Normal"/>
        <w:pageBreakBefore w:val="false"/>
        <w:widowControl/>
        <w:shd w:color="auto" w:fill="FFFFFF" w:val="clear"/>
        <w:ind w:firstLine="480"/>
        <w:rPr>
          <w:rFonts w:ascii="宋体" w:cs="宋体" w:eastAsia="宋体" w:hAnsi="宋体"/>
          <w:color w:val="333333"/>
          <w:kern w:val="0"/>
          <w:sz w:val="24"/>
          <w:szCs w:val="24"/>
        </w:rPr>
      </w:pPr>
      <w:r>
        <w:t>积极落实12319城市管理热线所反映的问题，及时对群众反映的意见和建议做出反馈。通过群众监督，城市管理的效率得到明显提高。</w:t>
      </w:r>
    </w:p>
    <w:p>
      <w:pPr>
        <w:pStyle w:val="Normal"/>
        <w:pageBreakBefore w:val="false"/>
        <w:widowControl/>
        <w:shd w:color="auto" w:fill="FFFFFF" w:val="clear"/>
        <w:ind w:firstLine="480"/>
        <w:rPr>
          <w:rFonts w:ascii="宋体" w:cs="宋体" w:eastAsia="宋体" w:hAnsi="宋体"/>
          <w:color w:val="333333"/>
          <w:kern w:val="0"/>
          <w:sz w:val="24"/>
          <w:szCs w:val="24"/>
        </w:rPr>
      </w:pPr>
      <w:r>
        <w:t>2019年数管中心采取多种形式促进政务公开，一是利用“义马市城市管理局”和“义马城管”两个微信信息公开平台，把政务信息逐一上网发布，内容涵盖政务公开、案件处理情况通报、城管新闻、检查监督、业务管理等类别的信息。二是充分利用义马市“12319”城市管理服务热线等形式，广泛宣传城市管理方面的信息。三是通过街头宣传、下沉办事处和社区进行培训等形式，宣传城市管理工作，促进政务公开。四是利用“义马城管”微信公众号平台，公开为百姓解决问题，公布各类城市管理案件处理结果。</w:t>
      </w:r>
    </w:p>
    <w:p>
      <w:pPr>
        <w:pStyle w:val="Normal"/>
        <w:pageBreakBefore w:val="false"/>
        <w:widowControl/>
        <w:shd w:color="auto" w:fill="FFFFFF" w:val="clear"/>
        <w:ind w:firstLine="480"/>
        <w:rPr>
          <w:rFonts w:ascii="宋体" w:cs="宋体" w:eastAsia="宋体" w:hAnsi="宋体"/>
          <w:color w:val="333333"/>
          <w:kern w:val="0"/>
          <w:sz w:val="24"/>
          <w:szCs w:val="24"/>
        </w:rPr>
      </w:pPr>
      <w:r>
        <w:t>广泛开展信息宣传工作</w:t>
      </w:r>
    </w:p>
    <w:p>
      <w:pPr>
        <w:pStyle w:val="Normal"/>
        <w:pageBreakBefore w:val="false"/>
        <w:widowControl/>
        <w:shd w:color="auto" w:fill="FFFFFF" w:val="clear"/>
        <w:ind w:firstLine="480"/>
        <w:rPr>
          <w:rFonts w:ascii="宋体" w:cs="宋体" w:eastAsia="宋体" w:hAnsi="宋体"/>
          <w:color w:val="333333"/>
          <w:kern w:val="0"/>
          <w:sz w:val="24"/>
          <w:szCs w:val="24"/>
        </w:rPr>
      </w:pPr>
      <w:r>
        <w:t>一是利用执法车辆电子屏和道路两侧电子屏幕，播放宣传片、法律法规宣传视频、文明创建宣传片，通过广泛的宣传教育，增强群众对城市管理工作的了解和认识，传达了管好城市为人民的思想。二是与今日义马报、义马电视台等媒体合作，主动公开信息，积极为百姓解决问题。三是通过街头宣传、发放宣传册等形式，宣传城市管理工作，促进政务公开。</w:t>
      </w:r>
    </w:p>
    <w:p>
      <w:pPr>
        <w:pStyle w:val="Normal"/>
        <w:pageBreakBefore w:val="false"/>
        <w:widowControl/>
        <w:shd w:color="auto" w:fill="FFFFFF" w:val="clear"/>
        <w:ind w:firstLine="480"/>
        <w:rPr>
          <w:rFonts w:ascii="宋体" w:cs="宋体" w:eastAsia="宋体" w:hAnsi="宋体"/>
          <w:color w:val="333333"/>
          <w:kern w:val="0"/>
          <w:sz w:val="24"/>
          <w:szCs w:val="24"/>
        </w:rPr>
      </w:pPr>
      <w:r>
        <w:t/>
      </w:r>
    </w:p>
    <w:p>
      <w:pPr>
        <w:pStyle w:val="Normal"/>
        <w:widowControl/>
        <w:shd w:color="auto" w:fill="FFFFFF" w:val="clear"/>
        <w:ind w:firstLine="480"/>
        <w:rPr>
          <w:rFonts w:ascii="宋体" w:cs="宋体" w:eastAsia="宋体" w:hAnsi="宋体"/>
          <w:color w:val="333333"/>
          <w:kern w:val="0"/>
          <w:sz w:val="24"/>
          <w:szCs w:val="24"/>
        </w:rPr>
      </w:pPr>
      <w:r>
        <w:rPr/>
      </w:r>
    </w:p>
    <w:p>
      <w:pPr>
        <w:pStyle w:val="Normal"/>
        <w:keepNext w:val="false"/>
        <w:keepLines w:val="false"/>
        <w:pageBreakBefore w:val="on"/>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二、主动公开政府信息情况</w:t>
      </w:r>
    </w:p>
    <w:tbl>
      <w:tblPr>
        <w:tblW w:type="dxa" w:w="8733"/>
        <w:jc w:val="center"/>
        <w:tblInd w:type="dxa" w:w="0"/>
        <w:tblLayout w:type="fixed"/>
        <w:tblCellMar>
          <w:top w:type="dxa" w:w="0"/>
          <w:start w:type="dxa" w:w="108"/>
          <w:bottom w:type="dxa" w:w="0"/>
          <w:end w:type="dxa" w:w="108"/>
        </w:tblCellMar>
      </w:tblPr>
      <w:tblGrid>
        <w:gridCol w:w="3046"/>
        <w:gridCol w:w="1999"/>
        <w:gridCol w:w="1650"/>
        <w:gridCol w:w="2037"/>
      </w:tblGrid>
      <w:tr>
        <w:trPr>
          <w:trHeight w:hRule="atLeast" w:val="495"/>
        </w:trPr>
        <w:tc>
          <w:tcPr>
            <w:tcW w:type="dxa" w:w="8732"/>
            <w:gridSpan w:val="4"/>
            <w:tcBorders>
              <w:top w:color="000000" w:space="0" w:sz="8" w:val="single"/>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第二十条第（一）项</w:t>
            </w:r>
          </w:p>
        </w:tc>
      </w:tr>
      <w:tr>
        <w:trPr>
          <w:trHeight w:hRule="atLeast" w:val="882"/>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本年新</w:t>
            </w:r>
            <w:r>
              <w:rPr>
                <w:rFonts w:ascii="宋体" w:cs="宋体" w:eastAsia="宋体" w:hAnsi="宋体"/>
                <w:kern w:val="0"/>
                <w:sz w:val="24"/>
                <w:szCs w:val="24"/>
                <w:lang w:bidi="ar-SA" w:eastAsia="zh-CN" w:val="en-US"/>
              </w:rPr>
              <w:br/>
            </w:r>
            <w:r>
              <w:rPr>
                <w:rFonts w:ascii="宋体" w:cs="宋体" w:hAnsi="宋体"/>
                <w:kern w:val="0"/>
                <w:sz w:val="24"/>
                <w:szCs w:val="24"/>
                <w:lang w:bidi="ar-SA" w:eastAsia="zh-CN" w:val="en-US"/>
              </w:rPr>
              <w:t>制作数量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本年新</w:t>
            </w:r>
            <w:r>
              <w:rPr>
                <w:rFonts w:ascii="宋体" w:cs="宋体" w:eastAsia="宋体" w:hAnsi="宋体"/>
                <w:kern w:val="0"/>
                <w:sz w:val="24"/>
                <w:szCs w:val="24"/>
                <w:lang w:bidi="ar-SA" w:eastAsia="zh-CN" w:val="en-US"/>
              </w:rPr>
              <w:br/>
            </w:r>
            <w:r>
              <w:rPr>
                <w:rFonts w:ascii="宋体" w:cs="宋体" w:hAnsi="宋体"/>
                <w:kern w:val="0"/>
                <w:sz w:val="24"/>
                <w:szCs w:val="24"/>
                <w:lang w:bidi="ar-SA" w:eastAsia="zh-CN" w:val="en-US"/>
              </w:rPr>
              <w:t>公开数量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对外公开总数量</w:t>
            </w:r>
          </w:p>
        </w:tc>
      </w:tr>
      <w:tr>
        <w:trPr>
          <w:trHeight w:hRule="atLeast" w:val="523"/>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规章</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71"/>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规范性文件</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1</w:t>
            </w:r>
          </w:p>
        </w:tc>
      </w:tr>
      <w:tr>
        <w:trPr>
          <w:trHeight w:hRule="atLeast" w:val="480"/>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第二十条第（五）项</w:t>
            </w:r>
          </w:p>
        </w:tc>
      </w:tr>
      <w:tr>
        <w:trPr>
          <w:trHeight w:hRule="atLeast" w:val="634"/>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处理决定数量</w:t>
            </w:r>
          </w:p>
        </w:tc>
      </w:tr>
      <w:tr>
        <w:trPr>
          <w:trHeight w:hRule="atLeast" w:val="528"/>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行政许可</w:t>
            </w:r>
          </w:p>
        </w:tc>
        <w:tc>
          <w:tcPr>
            <w:tcW w:type="dxa" w:w="1999"/>
            <w:tcBorders>
              <w:bottom w:color="000000" w:space="0" w:sz="8" w:val="single"/>
              <w:end w:color="000000" w:space="0" w:sz="8" w:val="single"/>
            </w:tcBorders>
            <w:vAlign w:val="center"/>
          </w:tcPr>
          <w:p>
            <w:r>
              <w:t>18</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550"/>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其他对外管理服务事项</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06"/>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第二十条第（六）项</w:t>
            </w:r>
          </w:p>
        </w:tc>
      </w:tr>
      <w:tr>
        <w:trPr>
          <w:trHeight w:hRule="atLeast" w:val="634"/>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处理决定数量</w:t>
            </w:r>
          </w:p>
        </w:tc>
      </w:tr>
      <w:tr>
        <w:trPr>
          <w:trHeight w:hRule="atLeast" w:val="430"/>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行政处罚</w:t>
            </w:r>
          </w:p>
        </w:tc>
        <w:tc>
          <w:tcPr>
            <w:tcW w:type="dxa" w:w="1999"/>
            <w:tcBorders>
              <w:bottom w:color="000000" w:space="0" w:sz="8" w:val="single"/>
              <w:end w:color="000000" w:space="0" w:sz="8" w:val="single"/>
            </w:tcBorders>
            <w:vAlign w:val="center"/>
          </w:tcPr>
          <w:p>
            <w:r>
              <w:t>8</w:t>
            </w:r>
          </w:p>
        </w:tc>
        <w:tc>
          <w:tcPr>
            <w:tcW w:type="dxa" w:w="1650"/>
            <w:tcBorders>
              <w:bottom w:color="000000" w:space="0" w:sz="8" w:val="single"/>
              <w:end w:color="000000" w:space="0" w:sz="8" w:val="single"/>
            </w:tcBorders>
            <w:vAlign w:val="center"/>
          </w:tcPr>
          <w:p>
            <w:r>
              <w:t>-5</w:t>
            </w:r>
          </w:p>
        </w:tc>
        <w:tc>
          <w:tcPr>
            <w:tcW w:type="dxa" w:w="2037"/>
            <w:tcBorders>
              <w:bottom w:color="000000" w:space="0" w:sz="8" w:val="single"/>
              <w:end w:color="000000" w:space="0" w:sz="8" w:val="single"/>
            </w:tcBorders>
            <w:vAlign w:val="center"/>
          </w:tcPr>
          <w:p>
            <w:r>
              <w:t>11</w:t>
            </w:r>
          </w:p>
        </w:tc>
      </w:tr>
      <w:tr>
        <w:trPr>
          <w:trHeight w:hRule="atLeast" w:val="409"/>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行政强制</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74"/>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第二十条第（八）项</w:t>
            </w:r>
          </w:p>
        </w:tc>
      </w:tr>
      <w:tr>
        <w:trPr>
          <w:trHeight w:hRule="atLeast" w:val="270"/>
        </w:trPr>
        <w:tc>
          <w:tcPr>
            <w:tcW w:type="dxa" w:w="3046"/>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3687"/>
            <w:gridSpan w:val="2"/>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r>
      <w:tr>
        <w:trPr>
          <w:trHeight w:hRule="atLeast" w:val="551"/>
        </w:trPr>
        <w:tc>
          <w:tcPr>
            <w:tcW w:type="dxa" w:w="3046"/>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行政事业性收费</w:t>
            </w:r>
          </w:p>
        </w:tc>
        <w:tc>
          <w:tcPr>
            <w:tcW w:type="dxa" w:w="1999"/>
            <w:tcBorders>
              <w:top w:color="000000" w:space="0" w:sz="8" w:val="single"/>
              <w:start w:color="000000" w:space="0" w:sz="8" w:val="single"/>
              <w:bottom w:color="000000" w:space="0" w:sz="8" w:val="single"/>
              <w:end w:color="000000" w:space="0" w:sz="8" w:val="single"/>
            </w:tcBorders>
            <w:vAlign w:val="center"/>
          </w:tcPr>
          <w:p>
            <w:r>
              <w:t>1</w:t>
            </w:r>
          </w:p>
        </w:tc>
        <w:tc>
          <w:tcPr>
            <w:tcW w:type="dxa" w:w="3687"/>
            <w:gridSpan w:val="2"/>
            <w:tcBorders>
              <w:top w:color="000000" w:space="0" w:sz="8" w:val="single"/>
              <w:start w:color="000000" w:space="0" w:sz="8" w:val="single"/>
              <w:bottom w:color="000000" w:space="0" w:sz="8" w:val="single"/>
              <w:end w:color="000000" w:space="0" w:sz="8" w:val="single"/>
            </w:tcBorders>
            <w:vAlign w:val="center"/>
          </w:tcPr>
          <w:p>
            <w:r>
              <w:t>0</w:t>
            </w:r>
          </w:p>
        </w:tc>
      </w:tr>
      <w:tr>
        <w:trPr>
          <w:trHeight w:hRule="atLeast" w:val="476"/>
        </w:trPr>
        <w:tc>
          <w:tcPr>
            <w:tcW w:type="dxa" w:w="8732"/>
            <w:gridSpan w:val="4"/>
            <w:tcBorders>
              <w:top w:color="000000" w:space="0" w:sz="8" w:val="single"/>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第二十条第（九）项</w:t>
            </w:r>
          </w:p>
        </w:tc>
      </w:tr>
      <w:tr>
        <w:trPr>
          <w:trHeight w:hRule="atLeast" w:val="585"/>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采购项目数量</w:t>
            </w:r>
          </w:p>
        </w:tc>
        <w:tc>
          <w:tcPr>
            <w:tcW w:type="dxa" w:w="3687"/>
            <w:gridSpan w:val="2"/>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采购总金额</w:t>
            </w:r>
          </w:p>
        </w:tc>
      </w:tr>
      <w:tr>
        <w:trPr>
          <w:trHeight w:hRule="atLeast" w:val="539"/>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政府集中采购</w:t>
            </w:r>
          </w:p>
        </w:tc>
        <w:tc>
          <w:tcPr>
            <w:tcW w:type="dxa" w:w="1999"/>
            <w:tcBorders>
              <w:bottom w:color="000000" w:space="0" w:sz="8" w:val="single"/>
              <w:end w:color="000000" w:space="0" w:sz="8" w:val="single"/>
            </w:tcBorders>
            <w:vAlign w:val="center"/>
          </w:tcPr>
          <w:p>
            <w:r>
              <w:t>0</w:t>
            </w:r>
          </w:p>
        </w:tc>
        <w:tc>
          <w:tcPr>
            <w:tcW w:type="dxa" w:w="3687"/>
            <w:gridSpan w:val="2"/>
            <w:tcBorders>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三、收到和处理政府信息公开申请情况</w:t>
      </w:r>
    </w:p>
    <w:tbl>
      <w:tblPr>
        <w:tblW w:type="dxa" w:w="8892"/>
        <w:jc w:val="center"/>
        <w:tblInd w:type="dxa" w:w="0"/>
        <w:tblLayout w:type="fixed"/>
        <w:tblCellMar>
          <w:top w:type="dxa" w:w="0"/>
          <w:start w:type="dxa" w:w="108"/>
          <w:bottom w:type="dxa" w:w="0"/>
          <w:end w:type="dxa" w:w="108"/>
        </w:tblCellMar>
      </w:tblPr>
      <w:tblGrid>
        <w:gridCol w:w="754"/>
        <w:gridCol w:w="980"/>
        <w:gridCol w:w="1810"/>
        <w:gridCol w:w="961"/>
        <w:gridCol w:w="806"/>
        <w:gridCol w:w="680"/>
        <w:gridCol w:w="959"/>
        <w:gridCol w:w="864"/>
        <w:gridCol w:w="598"/>
        <w:gridCol w:w="479"/>
      </w:tblGrid>
      <w:tr>
        <w:trPr>
          <w:trHeight w:hRule="atLeast" w:val="266"/>
        </w:trPr>
        <w:tc>
          <w:tcPr>
            <w:tcW w:type="dxa" w:w="3544"/>
            <w:gridSpan w:val="3"/>
            <w:vMerge w:val="restart"/>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spacing w:val="-2"/>
                <w:kern w:val="0"/>
                <w:szCs w:val="21"/>
                <w:lang w:val="en-US"/>
              </w:rPr>
            </w:pPr>
            <w:r>
              <w:rPr>
                <w:rFonts w:ascii="仿宋_GB2312" w:cs="宋体" w:eastAsia="仿宋_GB2312" w:hAnsi="仿宋_GB2312"/>
                <w:spacing w:val="-2"/>
                <w:kern w:val="0"/>
                <w:sz w:val="21"/>
                <w:szCs w:val="21"/>
                <w:lang w:bidi="ar-SA" w:eastAsia="zh-CN" w:val="en-US"/>
              </w:rPr>
              <w:t>（本列数据的勾稽关系为：第一项加第二项之和，等于第三项加第四项之和）</w:t>
            </w:r>
          </w:p>
        </w:tc>
        <w:tc>
          <w:tcPr>
            <w:tcW w:type="dxa" w:w="5347"/>
            <w:gridSpan w:val="7"/>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申请人情况</w:t>
            </w:r>
          </w:p>
        </w:tc>
      </w:tr>
      <w:tr>
        <w:trPr>
          <w:trHeight w:hRule="atLeast" w:val="150"/>
        </w:trPr>
        <w:tc>
          <w:tcPr>
            <w:tcW w:type="dxa" w:w="3544"/>
            <w:gridSpan w:val="3"/>
            <w:vMerge w:val="continue"/>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61"/>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自然人</w:t>
            </w:r>
          </w:p>
        </w:tc>
        <w:tc>
          <w:tcPr>
            <w:tcW w:type="dxa" w:w="3907"/>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法人或其他组织</w:t>
            </w:r>
          </w:p>
        </w:tc>
        <w:tc>
          <w:tcPr>
            <w:tcW w:type="dxa" w:w="479"/>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总计</w:t>
            </w:r>
          </w:p>
        </w:tc>
      </w:tr>
      <w:tr>
        <w:trPr>
          <w:trHeight w:hRule="atLeast" w:val="150"/>
        </w:trPr>
        <w:tc>
          <w:tcPr>
            <w:tcW w:type="dxa" w:w="3544"/>
            <w:gridSpan w:val="3"/>
            <w:vMerge w:val="continue"/>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61"/>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806"/>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商业企业</w:t>
            </w:r>
          </w:p>
        </w:tc>
        <w:tc>
          <w:tcPr>
            <w:tcW w:type="dxa" w:w="68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科研机构</w:t>
            </w:r>
          </w:p>
        </w:tc>
        <w:tc>
          <w:tcPr>
            <w:tcW w:type="dxa" w:w="95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社会公益组织</w:t>
            </w:r>
          </w:p>
        </w:tc>
        <w:tc>
          <w:tcPr>
            <w:tcW w:type="dxa" w:w="864"/>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法律服务机构</w:t>
            </w:r>
          </w:p>
        </w:tc>
        <w:tc>
          <w:tcPr>
            <w:tcW w:type="dxa" w:w="598"/>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其他</w:t>
            </w:r>
          </w:p>
        </w:tc>
        <w:tc>
          <w:tcPr>
            <w:tcW w:type="dxa" w:w="479"/>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r>
      <w:tr>
        <w:trPr>
          <w:trHeight w:hRule="atLeast" w:val="399"/>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一、本年新收政府信息公开申请数量</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426"/>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二、上年结转政府信息公开申请数量</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397"/>
        </w:trPr>
        <w:tc>
          <w:tcPr>
            <w:tcW w:type="dxa" w:w="754"/>
            <w:vMerge w:val="restart"/>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三、本年度办理结果</w:t>
            </w:r>
          </w:p>
        </w:tc>
        <w:tc>
          <w:tcPr>
            <w:tcW w:type="dxa" w:w="2790"/>
            <w:gridSpan w:val="2"/>
            <w:tcBorders>
              <w:top w:color="000000" w:space="0" w:sz="8" w:val="single"/>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（一）予以公开</w:t>
            </w:r>
          </w:p>
        </w:tc>
        <w:tc>
          <w:tcPr>
            <w:tcW w:type="dxa" w:w="961"/>
            <w:tcBorders>
              <w:top w:color="000000" w:space="0" w:sz="8" w:val="single"/>
              <w:bottom w:color="000000" w:space="0" w:sz="8" w:val="single"/>
              <w:end w:color="000000" w:space="0" w:sz="8" w:val="single"/>
            </w:tcBorders>
            <w:vAlign w:val="center"/>
          </w:tcPr>
          <w:p>
            <w:r>
              <w:t>0</w:t>
            </w:r>
          </w:p>
        </w:tc>
        <w:tc>
          <w:tcPr>
            <w:tcW w:type="dxa" w:w="806"/>
            <w:tcBorders>
              <w:top w:color="000000" w:space="0" w:sz="8" w:val="single"/>
              <w:bottom w:color="000000" w:space="0" w:sz="8" w:val="single"/>
              <w:end w:color="000000" w:space="0" w:sz="8" w:val="single"/>
            </w:tcBorders>
            <w:vAlign w:val="center"/>
          </w:tcPr>
          <w:p>
            <w:r>
              <w:t>0</w:t>
            </w:r>
          </w:p>
        </w:tc>
        <w:tc>
          <w:tcPr>
            <w:tcW w:type="dxa" w:w="680"/>
            <w:tcBorders>
              <w:top w:color="000000" w:space="0" w:sz="8" w:val="single"/>
              <w:bottom w:color="000000" w:space="0" w:sz="8" w:val="single"/>
              <w:end w:color="000000" w:space="0" w:sz="8" w:val="single"/>
            </w:tcBorders>
            <w:vAlign w:val="center"/>
          </w:tcPr>
          <w:p>
            <w:r>
              <w:t>0</w:t>
            </w:r>
          </w:p>
        </w:tc>
        <w:tc>
          <w:tcPr>
            <w:tcW w:type="dxa" w:w="959"/>
            <w:tcBorders>
              <w:top w:color="000000" w:space="0" w:sz="8" w:val="single"/>
              <w:bottom w:color="000000" w:space="0" w:sz="8" w:val="single"/>
              <w:end w:color="000000" w:space="0" w:sz="8" w:val="single"/>
            </w:tcBorders>
            <w:vAlign w:val="center"/>
          </w:tcPr>
          <w:p>
            <w:r>
              <w:t>0</w:t>
            </w:r>
          </w:p>
        </w:tc>
        <w:tc>
          <w:tcPr>
            <w:tcW w:type="dxa" w:w="864"/>
            <w:tcBorders>
              <w:top w:color="000000" w:space="0" w:sz="8" w:val="single"/>
              <w:bottom w:color="000000" w:space="0" w:sz="8" w:val="single"/>
              <w:end w:color="000000" w:space="0" w:sz="8" w:val="single"/>
            </w:tcBorders>
            <w:vAlign w:val="center"/>
          </w:tcPr>
          <w:p>
            <w:r>
              <w:t>0</w:t>
            </w:r>
          </w:p>
        </w:tc>
        <w:tc>
          <w:tcPr>
            <w:tcW w:type="dxa" w:w="598"/>
            <w:tcBorders>
              <w:top w:color="000000" w:space="0" w:sz="8" w:val="single"/>
              <w:bottom w:color="000000" w:space="0" w:sz="8" w:val="single"/>
              <w:end w:color="000000" w:space="0" w:sz="8" w:val="single"/>
            </w:tcBorders>
            <w:vAlign w:val="center"/>
          </w:tcPr>
          <w:p>
            <w:r>
              <w:t>0</w:t>
            </w:r>
          </w:p>
        </w:tc>
        <w:tc>
          <w:tcPr>
            <w:tcW w:type="dxa" w:w="479"/>
            <w:tcBorders>
              <w:top w:color="000000" w:space="0" w:sz="8" w:val="single"/>
              <w:start w:color="000000" w:space="0" w:sz="8" w:val="single"/>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top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（二）部分公开（区分处理的，只计这一情形，不计其他情形）</w:t>
            </w:r>
          </w:p>
        </w:tc>
        <w:tc>
          <w:tcPr>
            <w:tcW w:type="dxa" w:w="961"/>
            <w:tcBorders>
              <w:top w:color="000000" w:space="0" w:sz="8" w:val="single"/>
              <w:bottom w:color="000000" w:space="0" w:sz="8" w:val="single"/>
              <w:end w:color="000000" w:space="0" w:sz="8" w:val="single"/>
            </w:tcBorders>
            <w:vAlign w:val="center"/>
          </w:tcPr>
          <w:p>
            <w:r>
              <w:t>0</w:t>
            </w:r>
          </w:p>
        </w:tc>
        <w:tc>
          <w:tcPr>
            <w:tcW w:type="dxa" w:w="806"/>
            <w:tcBorders>
              <w:top w:color="000000" w:space="0" w:sz="8" w:val="single"/>
              <w:bottom w:color="000000" w:space="0" w:sz="8" w:val="single"/>
              <w:end w:color="000000" w:space="0" w:sz="8" w:val="single"/>
            </w:tcBorders>
            <w:vAlign w:val="center"/>
          </w:tcPr>
          <w:p>
            <w:r>
              <w:t>0</w:t>
            </w:r>
          </w:p>
        </w:tc>
        <w:tc>
          <w:tcPr>
            <w:tcW w:type="dxa" w:w="680"/>
            <w:tcBorders>
              <w:top w:color="000000" w:space="0" w:sz="8" w:val="single"/>
              <w:bottom w:color="000000" w:space="0" w:sz="8" w:val="single"/>
              <w:end w:color="000000" w:space="0" w:sz="8" w:val="single"/>
            </w:tcBorders>
            <w:vAlign w:val="center"/>
          </w:tcPr>
          <w:p>
            <w:r>
              <w:t>0</w:t>
            </w:r>
          </w:p>
        </w:tc>
        <w:tc>
          <w:tcPr>
            <w:tcW w:type="dxa" w:w="959"/>
            <w:tcBorders>
              <w:top w:color="000000" w:space="0" w:sz="8" w:val="single"/>
              <w:bottom w:color="000000" w:space="0" w:sz="8" w:val="single"/>
              <w:end w:color="000000" w:space="0" w:sz="8" w:val="single"/>
            </w:tcBorders>
            <w:vAlign w:val="center"/>
          </w:tcPr>
          <w:p>
            <w:r>
              <w:t>0</w:t>
            </w:r>
          </w:p>
        </w:tc>
        <w:tc>
          <w:tcPr>
            <w:tcW w:type="dxa" w:w="864"/>
            <w:tcBorders>
              <w:top w:color="000000" w:space="0" w:sz="8" w:val="single"/>
              <w:bottom w:color="000000" w:space="0" w:sz="8" w:val="single"/>
              <w:end w:color="000000" w:space="0" w:sz="8" w:val="single"/>
            </w:tcBorders>
            <w:vAlign w:val="center"/>
          </w:tcPr>
          <w:p>
            <w:r>
              <w:t>0</w:t>
            </w:r>
          </w:p>
        </w:tc>
        <w:tc>
          <w:tcPr>
            <w:tcW w:type="dxa" w:w="598"/>
            <w:tcBorders>
              <w:top w:color="000000" w:space="0" w:sz="8" w:val="single"/>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398"/>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（三）不予公开</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属于国家秘密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top w:color="000000" w:space="0" w:sz="8" w:val="single"/>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其他法律行政法规禁止公开</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危及“三安全一稳定”</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4.</w:t>
            </w:r>
            <w:r>
              <w:rPr>
                <w:rFonts w:ascii="仿宋_GB2312" w:cs="宋体" w:eastAsia="仿宋_GB2312" w:hAnsi="仿宋_GB2312"/>
                <w:kern w:val="0"/>
                <w:sz w:val="21"/>
                <w:szCs w:val="21"/>
                <w:lang w:bidi="ar-SA" w:eastAsia="zh-CN" w:val="en-US"/>
              </w:rPr>
              <w:t>保护第三方合法权益</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5.</w:t>
            </w:r>
            <w:r>
              <w:rPr>
                <w:rFonts w:ascii="仿宋_GB2312" w:cs="宋体" w:eastAsia="仿宋_GB2312" w:hAnsi="仿宋_GB2312"/>
                <w:kern w:val="0"/>
                <w:sz w:val="21"/>
                <w:szCs w:val="21"/>
                <w:lang w:bidi="ar-SA" w:eastAsia="zh-CN" w:val="en-US"/>
              </w:rPr>
              <w:t>属于三类内部事务信息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6.</w:t>
            </w:r>
            <w:r>
              <w:rPr>
                <w:rFonts w:ascii="仿宋_GB2312" w:cs="宋体" w:eastAsia="仿宋_GB2312" w:hAnsi="仿宋_GB2312"/>
                <w:kern w:val="0"/>
                <w:sz w:val="21"/>
                <w:szCs w:val="21"/>
                <w:lang w:bidi="ar-SA" w:eastAsia="zh-CN" w:val="en-US"/>
              </w:rPr>
              <w:t>属于四类过程性信息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7.</w:t>
            </w:r>
            <w:r>
              <w:rPr>
                <w:rFonts w:ascii="仿宋_GB2312" w:cs="宋体" w:eastAsia="仿宋_GB2312" w:hAnsi="仿宋_GB2312"/>
                <w:kern w:val="0"/>
                <w:sz w:val="21"/>
                <w:szCs w:val="21"/>
                <w:lang w:bidi="ar-SA" w:eastAsia="zh-CN" w:val="en-US"/>
              </w:rPr>
              <w:t>属于行政执法案卷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8.</w:t>
            </w:r>
            <w:r>
              <w:rPr>
                <w:rFonts w:ascii="仿宋_GB2312" w:cs="宋体" w:eastAsia="仿宋_GB2312" w:hAnsi="仿宋_GB2312"/>
                <w:kern w:val="0"/>
                <w:sz w:val="21"/>
                <w:szCs w:val="21"/>
                <w:lang w:bidi="ar-SA" w:eastAsia="zh-CN" w:val="en-US"/>
              </w:rPr>
              <w:t>属于行政查询事项</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（四）无法提供</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本机关不掌握相关政府信息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没有现成信息需要另行制作</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补正后申请内容仍不明确</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（五）不予处理</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信访举报投诉类申请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重复申请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要求提供公开出版物</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4.</w:t>
            </w:r>
            <w:r>
              <w:rPr>
                <w:rFonts w:ascii="仿宋_GB2312" w:cs="宋体" w:eastAsia="仿宋_GB2312" w:hAnsi="仿宋_GB2312"/>
                <w:kern w:val="0"/>
                <w:sz w:val="21"/>
                <w:szCs w:val="21"/>
                <w:lang w:bidi="ar-SA" w:eastAsia="zh-CN" w:val="en-US"/>
              </w:rPr>
              <w:t>无正当理由大量反复申请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5.</w:t>
            </w:r>
            <w:r>
              <w:rPr>
                <w:rFonts w:ascii="仿宋_GB2312" w:cs="宋体" w:eastAsia="仿宋_GB2312" w:hAnsi="仿宋_GB2312"/>
                <w:kern w:val="0"/>
                <w:sz w:val="21"/>
                <w:szCs w:val="21"/>
                <w:lang w:bidi="ar-SA" w:eastAsia="zh-CN" w:val="en-US"/>
              </w:rPr>
              <w:t>要求行政机关确认或重新出具已获取信息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（六）其他处理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（七）总计</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282"/>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四、结转下年度继续办理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四、政府信息公开行政复议、行政诉讼情况</w:t>
      </w:r>
    </w:p>
    <w:tbl>
      <w:tblPr>
        <w:tblW w:type="dxa" w:w="8982"/>
        <w:jc w:val="center"/>
        <w:tblInd w:type="dxa" w:w="0"/>
        <w:tblLayout w:type="fixed"/>
        <w:tblCellMar>
          <w:top w:type="dxa" w:w="0"/>
          <w:start w:type="dxa" w:w="108"/>
          <w:bottom w:type="dxa" w:w="0"/>
          <w:end w:type="dxa" w:w="108"/>
        </w:tblCellMar>
      </w:tblPr>
      <w:tblGrid>
        <w:gridCol w:w="565"/>
        <w:gridCol w:w="569"/>
        <w:gridCol w:w="567"/>
        <w:gridCol w:w="566"/>
        <w:gridCol w:w="570"/>
        <w:gridCol w:w="567"/>
        <w:gridCol w:w="566"/>
        <w:gridCol w:w="566"/>
        <w:gridCol w:w="569"/>
        <w:gridCol w:w="568"/>
        <w:gridCol w:w="566"/>
        <w:gridCol w:w="569"/>
        <w:gridCol w:w="567"/>
        <w:gridCol w:w="565"/>
        <w:gridCol w:w="1042"/>
      </w:tblGrid>
      <w:tr>
        <w:trPr/>
        <w:tc>
          <w:tcPr>
            <w:tcW w:type="dxa" w:w="2837"/>
            <w:gridSpan w:val="5"/>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行政复议</w:t>
            </w:r>
          </w:p>
        </w:tc>
        <w:tc>
          <w:tcPr>
            <w:tcW w:type="dxa" w:w="6145"/>
            <w:gridSpan w:val="1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行政诉讼</w:t>
            </w:r>
          </w:p>
        </w:tc>
      </w:tr>
      <w:tr>
        <w:trPr>
          <w:trHeight w:hRule="atLeast" w:val="355"/>
        </w:trPr>
        <w:tc>
          <w:tcPr>
            <w:tcW w:type="dxa" w:w="565"/>
            <w:vMerge w:val="restart"/>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9"/>
            <w:vMerge w:val="restart"/>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7"/>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6"/>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570"/>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c>
          <w:tcPr>
            <w:tcW w:type="dxa" w:w="2836"/>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未经复议直接起诉</w:t>
            </w:r>
          </w:p>
        </w:tc>
        <w:tc>
          <w:tcPr>
            <w:tcW w:type="dxa" w:w="3309"/>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复议后起诉</w:t>
            </w:r>
          </w:p>
        </w:tc>
      </w:tr>
      <w:tr>
        <w:trPr/>
        <w:tc>
          <w:tcPr>
            <w:tcW w:type="dxa" w:w="565"/>
            <w:vMerge w:val="continue"/>
            <w:tcBorders>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569"/>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7"/>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6"/>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70"/>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6"/>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6"/>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568"/>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c>
          <w:tcPr>
            <w:tcW w:type="dxa" w:w="566"/>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7"/>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1042"/>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r>
      <w:tr>
        <w:trPr/>
        <w:tc>
          <w:tcPr>
            <w:tcW w:type="dxa" w:w="565"/>
            <w:tcBorders>
              <w:top w:color="000000" w:space="0" w:sz="8" w:val="single"/>
              <w:start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70"/>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8"/>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5"/>
            <w:tcBorders>
              <w:top w:color="000000" w:space="0" w:sz="8" w:val="single"/>
              <w:bottom w:color="000000" w:space="0" w:sz="8" w:val="single"/>
              <w:end w:color="000000" w:space="0" w:sz="8" w:val="single"/>
            </w:tcBorders>
            <w:vAlign w:val="center"/>
          </w:tcPr>
          <w:p>
            <w:r>
              <w:t>0</w:t>
            </w:r>
          </w:p>
        </w:tc>
        <w:tc>
          <w:tcPr>
            <w:tcW w:type="dxa" w:w="1042"/>
            <w:tcBorders>
              <w:top w:color="000000" w:space="0" w:sz="8" w:val="single"/>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五、存在的主要问题及改进情况</w:t>
      </w:r>
    </w:p>
    <w:p>
      <w:pPr>
        <w:pStyle w:val="Normal"/>
        <w:widowControl/>
        <w:shd w:color="auto" w:fill="FFFFFF" w:val="clear"/>
        <w:ind w:firstLine="480"/>
        <w:rPr>
          <w:rFonts w:ascii="宋体" w:cs="宋体" w:eastAsia="宋体" w:hAnsi="宋体"/>
          <w:color w:val="333333"/>
          <w:kern w:val="0"/>
          <w:sz w:val="24"/>
          <w:szCs w:val="24"/>
        </w:rPr>
      </w:pPr>
      <w:r>
        <w:t/>
      </w:r>
    </w:p>
    <w:p>
      <w:pPr>
        <w:pStyle w:val="Normal"/>
        <w:widowControl/>
        <w:shd w:color="auto" w:fill="FFFFFF" w:val="clear"/>
        <w:ind w:firstLine="480"/>
        <w:rPr>
          <w:rFonts w:ascii="宋体" w:cs="宋体" w:eastAsia="宋体" w:hAnsi="宋体"/>
          <w:color w:val="333333"/>
          <w:kern w:val="0"/>
          <w:sz w:val="24"/>
          <w:szCs w:val="24"/>
        </w:rPr>
      </w:pPr>
      <w:r>
        <w:t>2019年，城市管理局切实贯彻义马市政务公开的要求，加大工作指导督导力度，取得了较好成绩。但是仍然存在一些不足：如发布信息数量较少、时效性把握不准，信息公开意识及内容需要进一步深化，信息公开工作人员业务技能有待提高，公开的时效性有待增强等。</w:t>
      </w:r>
    </w:p>
    <w:p>
      <w:pPr>
        <w:pStyle w:val="Normal"/>
        <w:widowControl/>
        <w:shd w:color="auto" w:fill="FFFFFF" w:val="clear"/>
        <w:ind w:firstLine="480"/>
        <w:rPr>
          <w:rFonts w:ascii="宋体" w:cs="宋体" w:eastAsia="宋体" w:hAnsi="宋体"/>
          <w:color w:val="333333"/>
          <w:kern w:val="0"/>
          <w:sz w:val="24"/>
          <w:szCs w:val="24"/>
        </w:rPr>
      </w:pPr>
      <w:r>
        <w:t/>
      </w:r>
    </w:p>
    <w:p>
      <w:pPr>
        <w:pStyle w:val="Normal"/>
        <w:widowControl/>
        <w:shd w:color="auto" w:fill="FFFFFF" w:val="clear"/>
        <w:ind w:firstLine="480"/>
        <w:rPr>
          <w:rFonts w:ascii="宋体" w:cs="宋体" w:eastAsia="宋体" w:hAnsi="宋体"/>
          <w:color w:val="333333"/>
          <w:kern w:val="0"/>
          <w:sz w:val="24"/>
          <w:szCs w:val="24"/>
        </w:rPr>
      </w:pPr>
      <w:r>
        <w:rPr/>
      </w:r>
    </w:p>
    <w:p>
      <w:pPr>
        <w:pStyle w:val="Normal"/>
        <w:keepNext w:val="false"/>
        <w:keepLines w:val="false"/>
        <w:widowControl/>
        <w:shd w:fill="FFFFFF" w:val="clear"/>
        <w:spacing w:after="0" w:before="0" w:line="580" w:lineRule="exact"/>
        <w:ind w:end="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　　六、其他需要报告的事项</w:t>
      </w:r>
    </w:p>
    <w:p>
      <w:pPr>
        <w:pStyle w:val="Normal"/>
        <w:pageBreakBefore w:val="false"/>
        <w:widowControl/>
        <w:shd w:color="auto" w:fill="FFFFFF" w:val="clear"/>
        <w:ind w:firstLine="480"/>
        <w:jc w:val="start"/>
        <w:rPr>
          <w:rFonts w:ascii="宋体" w:cs="宋体" w:eastAsia="宋体" w:hAnsi="宋体"/>
          <w:color w:val="333333"/>
          <w:kern w:val="0"/>
          <w:sz w:val="24"/>
          <w:szCs w:val="24"/>
        </w:rPr>
      </w:pPr>
      <w:r>
        <w:t>无</w:t>
      </w:r>
    </w:p>
    <w:sectPr>
      <w:type w:val="nextPage"/>
      <w:pgSz w:h="15840" w:w="12240"/>
      <w:pgMar w:bottom="1440" w:footer="0" w:gutter="0" w:header="0" w:left="1800" w:right="1800" w:top="1440"/>
      <w:pgNumType w:fmt="decimal"/>
      <w:formProt w:val="false"/>
      <w:textDirection w:val="lrTb"/>
      <w:docGrid w:charSpace="0" w:linePitch="312" w:type="lines"/>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86"/>
    <w:family w:val="roman"/>
    <w:pitch w:val="variable"/>
  </w:font>
  <w:font w:name="Calibri">
    <w:charset w:val="86"/>
    <w:family w:val="roman"/>
    <w:pitch w:val="variable"/>
  </w:font>
  <w:font w:name="Liberation Sans">
    <w:altName w:val="Arial"/>
    <w:charset w:val="86"/>
    <w:family w:val="roman"/>
    <w:pitch w:val="variable"/>
  </w:font>
  <w:font w:name="宋体">
    <w:charset w:val="86"/>
    <w:family w:val="roman"/>
    <w:pitch w:val="variable"/>
  </w:font>
  <w:font w:name="黑体">
    <w:charset w:val="86"/>
    <w:family w:val="roman"/>
    <w:pitch w:val="variable"/>
  </w:font>
  <w:font w:name="仿宋_GB2312">
    <w:charset w:val="86"/>
    <w:family w:val="roman"/>
    <w:pitch w:val="variable"/>
  </w:font>
  <w:font w:name="Times New Roman">
    <w:charset w:val="86"/>
    <w:family w:val="roman"/>
    <w:pitch w:val="variable"/>
  </w:font>
</w:fonts>
</file>

<file path=word/numbering.xml><?xml version="1.0" encoding="utf-8"?>
<w:numbering xmlns:mc="http://schemas.openxmlformats.org/markup-compatibility/2006" xmlns:o="urn:schemas-microsoft-com:office:office" xmlns:r="http://schemas.openxmlformats.org/officeDocument/2006/relationships" xmlns:v="urn:schemas-microsoft-com:vml" xmlns:w="http://schemas.openxmlformats.org/wordprocessingml/2006/main" xmlns:w14="http://schemas.microsoft.com/office/word/2010/wordml" mc:Ignorable="w14">
  <w:abstractNum w:abstractNumId="1">
    <w:lvl w:ilvl="0">
      <w:start w:val="1"/>
      <w:numFmt w:val="chineseCountingThousand"/>
      <w:suff w:val="nothing"/>
      <w:lvlText w:val="%1、"/>
      <w:lvlJc w:val="start"/>
      <w:pPr>
        <w:tabs>
          <w:tab w:pos="0" w:val="num"/>
        </w:tabs>
        <w:ind w:hanging="0" w:start="1440"/>
      </w:pPr>
      <w:rPr/>
    </w:lvl>
    <w:lvl w:ilvl="1">
      <w:start w:val="1"/>
      <w:numFmt w:val="decimal"/>
      <w:lvlText w:val="%2."/>
      <w:lvlJc w:val="start"/>
      <w:pPr>
        <w:tabs>
          <w:tab w:pos="0" w:val="num"/>
        </w:tabs>
        <w:ind w:hanging="360" w:start="1440"/>
      </w:pPr>
      <w:rPr/>
    </w:lvl>
    <w:lvl w:ilvl="2">
      <w:start w:val="1"/>
      <w:numFmt w:val="decimal"/>
      <w:lvlText w:val="%3."/>
      <w:lvlJc w:val="start"/>
      <w:pPr>
        <w:tabs>
          <w:tab w:pos="0" w:val="num"/>
        </w:tabs>
        <w:ind w:hanging="360" w:start="2160"/>
      </w:pPr>
      <w:rPr/>
    </w:lvl>
    <w:lvl w:ilvl="3">
      <w:start w:val="1"/>
      <w:numFmt w:val="decimal"/>
      <w:lvlText w:val="%4."/>
      <w:lvlJc w:val="start"/>
      <w:pPr>
        <w:tabs>
          <w:tab w:pos="0" w:val="num"/>
        </w:tabs>
        <w:ind w:hanging="360" w:start="2880"/>
      </w:pPr>
      <w:rPr/>
    </w:lvl>
    <w:lvl w:ilvl="4">
      <w:start w:val="1"/>
      <w:numFmt w:val="decimal"/>
      <w:lvlText w:val="%5."/>
      <w:lvlJc w:val="start"/>
      <w:pPr>
        <w:tabs>
          <w:tab w:pos="0" w:val="num"/>
        </w:tabs>
        <w:ind w:hanging="360" w:start="3600"/>
      </w:pPr>
      <w:rPr/>
    </w:lvl>
    <w:lvl w:ilvl="5">
      <w:start w:val="1"/>
      <w:numFmt w:val="decimal"/>
      <w:lvlText w:val="%6."/>
      <w:lvlJc w:val="start"/>
      <w:pPr>
        <w:tabs>
          <w:tab w:pos="0" w:val="num"/>
        </w:tabs>
        <w:ind w:hanging="360" w:start="4320"/>
      </w:pPr>
      <w:rPr/>
    </w:lvl>
    <w:lvl w:ilvl="6">
      <w:start w:val="1"/>
      <w:numFmt w:val="decimal"/>
      <w:lvlText w:val="%7."/>
      <w:lvlJc w:val="start"/>
      <w:pPr>
        <w:tabs>
          <w:tab w:pos="0" w:val="num"/>
        </w:tabs>
        <w:ind w:hanging="360" w:start="5040"/>
      </w:pPr>
      <w:rPr/>
    </w:lvl>
    <w:lvl w:ilvl="7">
      <w:start w:val="1"/>
      <w:numFmt w:val="decimal"/>
      <w:lvlText w:val="%8."/>
      <w:lvlJc w:val="start"/>
      <w:pPr>
        <w:tabs>
          <w:tab w:pos="0" w:val="num"/>
        </w:tabs>
        <w:ind w:hanging="360" w:start="5760"/>
      </w:pPr>
      <w:rPr/>
    </w:lvl>
    <w:lvl w:ilvl="8">
      <w:start w:val="1"/>
      <w:numFmt w:val="decimal"/>
      <w:lvlText w:val="%9."/>
      <w:lvlJc w:val="start"/>
      <w:pPr>
        <w:tabs>
          <w:tab w:pos="0" w:val="num"/>
        </w:tabs>
        <w:ind w:hanging="360" w:start="6480"/>
      </w:pPr>
      <w:rPr/>
    </w:lvl>
  </w:abstractNum>
  <w:abstractNum w:abstractNumId="2">
    <w:lvl w:ilvl="0">
      <w:start w:val="1"/>
      <w:numFmt w:val="none"/>
      <w:suff w:val="nothing"/>
      <w:lvlText w:val=""/>
      <w:lvlJc w:val="start"/>
      <w:pPr>
        <w:tabs>
          <w:tab w:pos="0" w:val="num"/>
        </w:tabs>
        <w:ind w:hanging="0" w:start="0"/>
      </w:pPr>
    </w:lvl>
    <w:lvl w:ilvl="1">
      <w:start w:val="1"/>
      <w:numFmt w:val="none"/>
      <w:suff w:val="nothing"/>
      <w:lvlText w:val=""/>
      <w:lvlJc w:val="start"/>
      <w:pPr>
        <w:tabs>
          <w:tab w:pos="0" w:val="num"/>
        </w:tabs>
        <w:ind w:hanging="0" w:start="0"/>
      </w:pPr>
    </w:lvl>
    <w:lvl w:ilvl="2">
      <w:start w:val="1"/>
      <w:numFmt w:val="none"/>
      <w:suff w:val="nothing"/>
      <w:lvlText w:val=""/>
      <w:lvlJc w:val="start"/>
      <w:pPr>
        <w:tabs>
          <w:tab w:pos="0" w:val="num"/>
        </w:tabs>
        <w:ind w:hanging="0" w:start="0"/>
      </w:pPr>
    </w:lvl>
    <w:lvl w:ilvl="3">
      <w:start w:val="1"/>
      <w:numFmt w:val="none"/>
      <w:suff w:val="nothing"/>
      <w:lvlText w:val=""/>
      <w:lvlJc w:val="start"/>
      <w:pPr>
        <w:tabs>
          <w:tab w:pos="0" w:val="num"/>
        </w:tabs>
        <w:ind w:hanging="0" w:start="0"/>
      </w:pPr>
    </w:lvl>
    <w:lvl w:ilvl="4">
      <w:start w:val="1"/>
      <w:numFmt w:val="none"/>
      <w:suff w:val="nothing"/>
      <w:lvlText w:val=""/>
      <w:lvlJc w:val="start"/>
      <w:pPr>
        <w:tabs>
          <w:tab w:pos="0" w:val="num"/>
        </w:tabs>
        <w:ind w:hanging="0" w:start="0"/>
      </w:pPr>
    </w:lvl>
    <w:lvl w:ilvl="5">
      <w:start w:val="1"/>
      <w:numFmt w:val="none"/>
      <w:suff w:val="nothing"/>
      <w:lvlText w:val=""/>
      <w:lvlJc w:val="start"/>
      <w:pPr>
        <w:tabs>
          <w:tab w:pos="0" w:val="num"/>
        </w:tabs>
        <w:ind w:hanging="0" w:start="0"/>
      </w:pPr>
    </w:lvl>
    <w:lvl w:ilvl="6">
      <w:start w:val="1"/>
      <w:numFmt w:val="none"/>
      <w:suff w:val="nothing"/>
      <w:lvlText w:val=""/>
      <w:lvlJc w:val="start"/>
      <w:pPr>
        <w:tabs>
          <w:tab w:pos="0" w:val="num"/>
        </w:tabs>
        <w:ind w:hanging="0" w:start="0"/>
      </w:pPr>
    </w:lvl>
    <w:lvl w:ilvl="7">
      <w:start w:val="1"/>
      <w:numFmt w:val="none"/>
      <w:suff w:val="nothing"/>
      <w:lvlText w:val=""/>
      <w:lvlJc w:val="start"/>
      <w:pPr>
        <w:tabs>
          <w:tab w:pos="0" w:val="num"/>
        </w:tabs>
        <w:ind w:hanging="0" w:start="0"/>
      </w:pPr>
    </w:lvl>
    <w:lvl w:ilvl="8">
      <w:start w:val="1"/>
      <w:numFmt w:val="none"/>
      <w:suff w:val="nothing"/>
      <w:lvlText w:val=""/>
      <w:lvlJc w:val="start"/>
      <w:pPr>
        <w:tabs>
          <w:tab w:pos="0" w:val="num"/>
        </w:tabs>
        <w:ind w:hanging="0" w:start="0"/>
      </w:pPr>
    </w:lvl>
  </w:abstractNum>
  <w:num w:numId="1">
    <w:abstractNumId w:val="1"/>
  </w:num>
  <w:num w:numId="2">
    <w:abstractNumId w:val="2"/>
  </w:num>
</w:numbering>
</file>

<file path=word/settings.xml><?xml version="1.0" encoding="utf-8"?>
<w:settings xmlns:w="http://schemas.openxmlformats.org/wordprocessingml/2006/main">
  <w:zoom w:percent="130"/>
  <w:defaultTabStop w:val="420"/>
  <w:autoHyphenation w:val="true"/>
  <w:compat>
    <w:noLeading/>
    <w:doNotExpandShiftReturn/>
    <w:compatSetting w:name="compatibilityMode" w:uri="http://schemas.microsoft.com/office/word" w:val="11"/>
  </w:compat>
  <w:themeFontLang w:bidi="" w:eastAsia=""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Liberation Serif" w:cs="Arial" w:eastAsia="新宋体" w:hAnsi="Liberation Serif"/>
        <w:sz w:val="24"/>
        <w:szCs w:val="24"/>
        <w:lang w:bidi="hi-IN" w:eastAsia="zh-CN" w:val="en-US"/>
      </w:rPr>
    </w:rPrDefault>
    <w:pPrDefault>
      <w:pPr>
        <w:suppressAutoHyphens w:val="true"/>
      </w:pPr>
    </w:pPrDefault>
  </w:docDefaults>
  <w:style w:styleId="Normal" w:type="paragraph">
    <w:name w:val="Normal"/>
    <w:qFormat/>
    <w:pPr>
      <w:widowControl w:val="false"/>
      <w:suppressAutoHyphens w:val="true"/>
      <w:bidi w:val="0"/>
      <w:spacing w:after="0" w:before="0"/>
      <w:jc w:val="both"/>
    </w:pPr>
    <w:rPr>
      <w:rFonts w:ascii="Calibri" w:cs="Times New Roman" w:eastAsia="宋体" w:hAnsi="Calibri"/>
      <w:color w:val="auto"/>
      <w:kern w:val="2"/>
      <w:sz w:val="21"/>
      <w:szCs w:val="24"/>
      <w:lang w:bidi="ar-SA" w:eastAsia="zh-CN" w:val="en-US"/>
    </w:rPr>
  </w:style>
  <w:style w:styleId="Style14" w:type="character">
    <w:name w:val="默认段落字体"/>
    <w:qFormat/>
    <w:rPr/>
  </w:style>
  <w:style w:styleId="Style15" w:type="paragraph">
    <w:name w:val="标题样式"/>
    <w:basedOn w:val="Normal"/>
    <w:next w:val="BodyText"/>
    <w:qFormat/>
    <w:pPr>
      <w:keepNext w:val="true"/>
      <w:spacing w:after="120" w:before="240"/>
    </w:pPr>
    <w:rPr>
      <w:rFonts w:ascii="Liberation Sans" w:cs="Arial" w:eastAsia="微软雅黑" w:hAnsi="Liberation Sans"/>
      <w:sz w:val="28"/>
      <w:szCs w:val="28"/>
    </w:rPr>
  </w:style>
  <w:style w:styleId="BodyText" w:type="paragraph">
    <w:name w:val="Body Text"/>
    <w:basedOn w:val="Normal"/>
    <w:pPr>
      <w:spacing w:after="140" w:before="0" w:line="276" w:lineRule="auto"/>
    </w:pPr>
    <w:rPr/>
  </w:style>
  <w:style w:styleId="List" w:type="paragraph">
    <w:name w:val="List"/>
    <w:basedOn w:val="BodyText"/>
    <w:pPr/>
    <w:rPr>
      <w:rFonts w:cs="Arial"/>
    </w:rPr>
  </w:style>
  <w:style w:styleId="Caption" w:type="paragraph">
    <w:name w:val="Caption"/>
    <w:basedOn w:val="Normal"/>
    <w:qFormat/>
    <w:pPr>
      <w:suppressLineNumbers/>
      <w:spacing w:after="120" w:before="120"/>
    </w:pPr>
    <w:rPr>
      <w:rFonts w:cs="Arial"/>
      <w:i/>
      <w:iCs/>
      <w:sz w:val="24"/>
      <w:szCs w:val="24"/>
    </w:rPr>
  </w:style>
  <w:style w:styleId="Style16" w:type="paragraph">
    <w:name w:val="索引"/>
    <w:basedOn w:val="Normal"/>
    <w:qFormat/>
    <w:pPr>
      <w:suppressLineNumbers/>
    </w:pPr>
    <w:rPr>
      <w:rFonts w:cs="Arial"/>
    </w:rPr>
  </w:style>
  <w:style w:styleId="Style17" w:type="paragraph">
    <w:name w:val="表格内容"/>
    <w:basedOn w:val="Normal"/>
    <w:qFormat/>
    <w:pPr>
      <w:widowControl w:val="false"/>
      <w:suppressLineNumbers/>
    </w:pPr>
    <w:rPr/>
  </w:style>
  <w:style w:styleId="Style18" w:type="paragraph">
    <w:name w:val="表格标题"/>
    <w:basedOn w:val="Style17"/>
    <w:qFormat/>
    <w:pPr>
      <w:suppressLineNumbers/>
      <w:jc w:val="center"/>
    </w:pPr>
    <w:rPr>
      <w:b/>
      <w:bCs/>
    </w:rPr>
  </w:style>
  <w:style w:styleId="WW8Num1" w:type="numbering">
    <w:name w:val="WW8Num1"/>
    <w:qFormat/>
  </w:style>
</w:style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 Id="rId3" Target="fontTable.xml" Type="http://schemas.openxmlformats.org/officeDocument/2006/relationships/fontTable"/>
<Relationship Id="rId4" Target="settings.xml" Type="http://schemas.openxmlformats.org/officeDocument/2006/relationships/settings"/>
<Relationship Id="rId5" Target="theme/theme1.xml" Type="http://schemas.openxmlformats.org/officeDocument/2006/relationships/theme"/>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LibreOffice/7.6.2.1$Windows_X86_64 LibreOffice_project/56f7684011345957bbf33a7ee678afaf4d2ba333</Application>
  <AppVersion>15.0000</AppVersion>
  <Pages>3</Pages>
  <Words>910</Words>
  <Characters>982</Characters>
  <CharactersWithSpaces>986</CharactersWithSpaces>
  <Paragraphs>295</Paragraphs>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2021-01-06T08:53:00Z</dcterms:created>
  <dc:creator>离开丶</dc:creator>
  <dc:language>zh-CN</dc:language>
  <cp:lastPrinted>2021-01-06T16:35:00Z</cp:lastPrinted>
  <dcterms:modified xsi:type="dcterms:W3CDTF">2024-01-13T19:48:27Z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2052-10.1.0.7245</vt:lpwstr>
  </property>
</Properties>
</file>