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投资集团2019年政府信息公开工作年度报告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根据《中华人民共和国政府信息公开条例》、《国务院办公厅关于加强和规范政府信息公开情况统计报送工作的通知》以及省、三门峡市《关于做好2019年政府信息公开情况统计报送和年度报告编制公布工作的通知》等文件精神要求，结合我公司实际，现将2019年义马市投资集团有限公司政府信息公开工作报告如下： 一、依申请公开政府信息情况　　2019年，我公司无依申请公开政府信息。 二、政府信息公开收费及减免收费情况　　2019年，我公司无政府信息公开收费。 三、因政府信息公开申请行政复议、提起行政诉讼的情况 2019年，我公司因没有政府信息公开提出的行政复议和行政诉讼。 四、咨询和投诉的情况 2019年度未发生针对本公司有关政府信息公开事务的咨询和投诉。</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无</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